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600"/>
        <w:jc w:val="center"/>
      </w:pPr>
      <w:r>
        <w:rPr>
          <w:rFonts w:ascii="Microsoft YaHei" w:cs="Microsoft YaHei" w:eastAsia="Microsoft YaHei" w:hAnsi="Microsoft YaHei"/>
          <w:b/>
          <w:bCs/>
          <w:sz w:val="44"/>
          <w:szCs w:val="44"/>
        </w:rPr>
        <w:t xml:space="preserve">传统企业 · AI 转型「经营分析」工作簿使用说明与审阅模板</w:t>
      </w:r>
    </w:p>
    <w:p>
      <w:pPr>
        <w:spacing w:after="400"/>
        <w:jc w:val="center"/>
      </w:pPr>
      <w:r>
        <w:rPr>
          <w:rFonts w:ascii="Microsoft YaHei" w:cs="Microsoft YaHei" w:eastAsia="Microsoft YaHei" w:hAnsi="Microsoft YaHei"/>
          <w:color w:val="595959"/>
          <w:sz w:val="22"/>
          <w:szCs w:val="22"/>
        </w:rPr>
        <w:t xml:space="preserve">境核AI · 场景体验库 · 示例产物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6826"/>
      </w:tblGrid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文档编号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067-industry-传统企业-AI-转型-经营分析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所属行业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传统企业 · AI 转型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应用场景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经营分析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文档类型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配套使用说明 / 审阅登记模板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版本 / 日期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V1.0（示例版） / 2026年8月</w:t>
            </w:r>
          </w:p>
        </w:tc>
      </w:tr>
    </w:tbl>
    <w:p>
      <w:pPr>
        <w:spacing w:after="60"/>
      </w:pPr>
      <w:r>
        <w:rPr>
          <w:rFonts w:ascii="Microsoft YaHei" w:cs="Microsoft YaHei" w:eastAsia="Microsoft YaHei" w:hAnsi="Microsoft YaHei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C0504D" w:sz="4"/>
              <w:left w:val="single" w:color="C0504D" w:sz="4"/>
              <w:bottom w:val="single" w:color="C0504D" w:sz="4"/>
              <w:right w:val="single" w:color="C0504D" w:sz="4"/>
            </w:tcBorders>
            <w:shd w:fill="FBEFEF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r>
              <w:rPr>
                <w:rFonts w:ascii="Microsoft YaHei" w:cs="Microsoft YaHei" w:eastAsia="Microsoft YaHei" w:hAnsi="Microsoft YaHei"/>
                <w:color w:val="C0504D"/>
                <w:sz w:val="18"/>
                <w:szCs w:val="18"/>
              </w:rPr>
              <w:t xml:space="preserve">示例数据声明：本文件为「境核AI」场景体验库示例产物，文中全部数据均为虚构示例数据，仅用于功能演示与模板复用，不代表任何真实客户、真实项目或真实调研结果。</w:t>
            </w:r>
          </w:p>
        </w:tc>
      </w:tr>
    </w:tbl>
    <w:p>
      <w:pPr>
        <w:pageBreakBefore/>
      </w:pP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一、用途与适用范围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本说明配套主产物工作簿《067-industry-传统企业-AI-转型-经营分析-主产物.xlsx》使用，面向传统企业 · AI 转型行业「经营分析」场景，指导使用者完成数据填报、测算复核与结果审批，也可单独作为该场景的数据审阅与会签模板。</w:t>
      </w:r>
    </w:p>
    <w:p>
      <w:pPr>
        <w:spacing w:after="120"/>
      </w:pPr>
      <w:r>
        <w:rPr>
          <w:rFonts w:ascii="Microsoft YaHei" w:cs="Microsoft YaHei" w:eastAsia="Microsoft YaHei" w:hAnsi="Microsoft YaHei"/>
          <w:color w:val="595959"/>
        </w:rPr>
        <w:t xml:space="preserve">经营数据分散在进销存、财务与销售系统，月度分析靠 Excel 手工拼接，管理层决策缺乏及时数据支撑。本方案自动汇聚核心经营指标，生成月度经营分析报告与异常预警，让数据跟上决策节奏。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二、工作簿结构说明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5226"/>
        <w:gridCol w:w="1600"/>
      </w:tblGrid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工作表</w:t>
            </w:r>
          </w:p>
        </w:tc>
        <w:tc>
          <w:tcPr>
            <w:tcW w:type="dxa" w:w="52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内容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可否编辑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说明</w:t>
            </w:r>
          </w:p>
        </w:tc>
        <w:tc>
          <w:tcPr>
            <w:tcW w:type="dxa" w:w="52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模板用途、使用方法、颜色约定与数据声明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只读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参数与输入</w:t>
            </w:r>
          </w:p>
        </w:tc>
        <w:tc>
          <w:tcPr>
            <w:tcW w:type="dxa" w:w="52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模型参数与明细数据输入区（蓝色字体可修改）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可编辑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分析计算</w:t>
            </w:r>
          </w:p>
        </w:tc>
        <w:tc>
          <w:tcPr>
            <w:tcW w:type="dxa" w:w="52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改善量、改善率、达标判定与汇总指标（公式区）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请勿覆盖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校验</w:t>
            </w:r>
          </w:p>
        </w:tc>
        <w:tc>
          <w:tcPr>
            <w:tcW w:type="dxa" w:w="52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记录数、完整性、优化方向与勾稽校验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请勿覆盖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图表</w:t>
            </w:r>
          </w:p>
        </w:tc>
        <w:tc>
          <w:tcPr>
            <w:tcW w:type="dxa" w:w="52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基准 vs 优化对比图、关键指标现状-目标图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自动联动</w:t>
            </w:r>
          </w:p>
        </w:tc>
      </w:tr>
    </w:tbl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三、填写与使用步骤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打开工作簿「参数与输入」表，按需调整黄色底纹的三项模型参数。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将示例数据整行替换为本单位真实数据，保持列结构不变。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切换到「校验」表，确认总体校验状态为“全部通过”。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查看「分析计算」与「图表」表结果，截取或引用至汇报材料。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按第五、六章完成人工审核与会签后，方可对外引用数据。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四、字段字典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6"/>
        <w:gridCol w:w="1200"/>
        <w:gridCol w:w="3800"/>
        <w:gridCol w:w="1600"/>
      </w:tblGrid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字段名称</w:t>
            </w:r>
          </w:p>
        </w:tc>
        <w:tc>
          <w:tcPr>
            <w:tcW w:type="dxa" w:w="1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类型</w:t>
            </w:r>
          </w:p>
        </w:tc>
        <w:tc>
          <w:tcPr>
            <w:tcW w:type="dxa" w:w="3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填写说明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示例值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分析维度</w:t>
            </w:r>
          </w:p>
        </w:tc>
        <w:tc>
          <w:tcPr>
            <w:tcW w:type="dxa" w:w="1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文本</w:t>
            </w:r>
          </w:p>
        </w:tc>
        <w:tc>
          <w:tcPr>
            <w:tcW w:type="dxa" w:w="3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分析对象名称，须唯一、与业务系统口径一致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销售收入分析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业务板块</w:t>
            </w:r>
          </w:p>
        </w:tc>
        <w:tc>
          <w:tcPr>
            <w:tcW w:type="dxa" w:w="1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枚举</w:t>
            </w:r>
          </w:p>
        </w:tc>
        <w:tc>
          <w:tcPr>
            <w:tcW w:type="dxa" w:w="3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从既定选项中选择，新增类别须经数据管理岗确认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制造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数据源系统数</w:t>
            </w:r>
          </w:p>
        </w:tc>
        <w:tc>
          <w:tcPr>
            <w:tcW w:type="dxa" w:w="1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数值</w:t>
            </w:r>
          </w:p>
        </w:tc>
        <w:tc>
          <w:tcPr>
            <w:tcW w:type="dxa" w:w="3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业务规模量，用于结果解读与加权分析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2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人工分析耗时(天/期)</w:t>
            </w:r>
          </w:p>
        </w:tc>
        <w:tc>
          <w:tcPr>
            <w:tcW w:type="dxa" w:w="1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数值</w:t>
            </w:r>
          </w:p>
        </w:tc>
        <w:tc>
          <w:tcPr>
            <w:tcW w:type="dxa" w:w="3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基准口径数值，取近三期平均更稳妥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10.4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AI辅助分析(天/期)</w:t>
            </w:r>
          </w:p>
        </w:tc>
        <w:tc>
          <w:tcPr>
            <w:tcW w:type="dxa" w:w="1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数值</w:t>
            </w:r>
          </w:p>
        </w:tc>
        <w:tc>
          <w:tcPr>
            <w:tcW w:type="dxa" w:w="3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优化后口径数值，应小于基准值，否则校验表将提示异常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4.1</w:t>
            </w:r>
          </w:p>
        </w:tc>
      </w:tr>
    </w:tbl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五、数据审核清单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审核人须逐项检查并勾选结果，任一项不通过须退回填报人修正：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5326"/>
        <w:gridCol w:w="1500"/>
      </w:tblGrid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检查项</w:t>
            </w:r>
          </w:p>
        </w:tc>
        <w:tc>
          <w:tcPr>
            <w:tcW w:type="dxa" w:w="5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检查标准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结果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数据来源</w:t>
            </w:r>
          </w:p>
        </w:tc>
        <w:tc>
          <w:tcPr>
            <w:tcW w:type="dxa" w:w="5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全部数据来自可追溯的业务系统或台账，示例数据已全部替换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□通过 □退回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记录完整性</w:t>
            </w:r>
          </w:p>
        </w:tc>
        <w:tc>
          <w:tcPr>
            <w:tcW w:type="dxa" w:w="5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记录条数与业务范围一致，数值列无空缺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□通过 □退回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优化方向</w:t>
            </w:r>
          </w:p>
        </w:tc>
        <w:tc>
          <w:tcPr>
            <w:tcW w:type="dxa" w:w="5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优化值均低于基准值，反向记录已核实原因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□通过 □退回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勾稽一致</w:t>
            </w:r>
          </w:p>
        </w:tc>
        <w:tc>
          <w:tcPr>
            <w:tcW w:type="dxa" w:w="5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「校验」表总体状态为“全部通过”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□通过 □退回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口径一致</w:t>
            </w:r>
          </w:p>
        </w:tc>
        <w:tc>
          <w:tcPr>
            <w:tcW w:type="dxa" w:w="5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指标口径与本文件字段字典一致，跨期可比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□通过 □退回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合规检查</w:t>
            </w:r>
          </w:p>
        </w:tc>
        <w:tc>
          <w:tcPr>
            <w:tcW w:type="dxa" w:w="5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满足企业内控与数据治理要求，关键流程变更执行审批与灰度上线机制，保留完整操作日志。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□通过 □退回</w:t>
            </w:r>
          </w:p>
        </w:tc>
      </w:tr>
    </w:tbl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六、审批会签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6"/>
        <w:gridCol w:w="1600"/>
        <w:gridCol w:w="3400"/>
        <w:gridCol w:w="1600"/>
      </w:tblGrid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会签角色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姓名</w:t>
            </w:r>
          </w:p>
        </w:tc>
        <w:tc>
          <w:tcPr>
            <w:tcW w:type="dxa" w:w="3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审批意见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日期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业务部门负责人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流程管理岗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IT负责人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财务负责人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总经理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  <w:r>
        <w:rPr>
          <w:rFonts w:ascii="Microsoft YaHei" w:cs="Microsoft YaHei" w:eastAsia="Microsoft YaHei" w:hAnsi="Microsoft YaHei"/>
          <w:color w:val="808080"/>
          <w:sz w:val="18"/>
          <w:szCs w:val="18"/>
        </w:rPr>
        <w:t xml:space="preserve">提示：AI 处理结果按抽检比例复核，重大业务节点保留人工确认环节。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七、常见问题</w:t>
      </w:r>
    </w:p>
    <w:p>
      <w:pPr>
        <w:spacing w:after="120"/>
      </w:pPr>
      <w:r>
        <w:rPr>
          <w:rFonts w:ascii="Microsoft YaHei" w:cs="Microsoft YaHei" w:eastAsia="Microsoft YaHei" w:hAnsi="Microsoft YaHei"/>
          <w:b/>
          <w:bCs/>
        </w:rPr>
        <w:t xml:space="preserve">问：需要分析的对象多于 8 行怎么办？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答：在「参数与输入」表数据区内插入整行后填写，并将「分析计算」「校验」表的公式范围同步下拉扩展，最后确认校验表全部通过。</w:t>
      </w:r>
    </w:p>
    <w:p>
      <w:pPr>
        <w:spacing w:after="120"/>
      </w:pPr>
      <w:r>
        <w:rPr>
          <w:rFonts w:ascii="Microsoft YaHei" w:cs="Microsoft YaHei" w:eastAsia="Microsoft YaHei" w:hAnsi="Microsoft YaHei"/>
          <w:b/>
          <w:bCs/>
        </w:rPr>
        <w:t xml:space="preserve">问：不小心覆盖了公式怎么办？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答：从原始模板复制对应列公式粘贴回来，或重新下载模板后仅迁移输入区数据；公式列均为黑色字体，填报时请避开。</w:t>
      </w:r>
    </w:p>
    <w:p>
      <w:pPr>
        <w:spacing w:after="120"/>
      </w:pPr>
      <w:r>
        <w:rPr>
          <w:rFonts w:ascii="Microsoft YaHei" w:cs="Microsoft YaHei" w:eastAsia="Microsoft YaHei" w:hAnsi="Microsoft YaHei"/>
          <w:b/>
          <w:bCs/>
        </w:rPr>
        <w:t xml:space="preserve">问：图表没有随数据更新？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答：图表引用「参数与输入」固定区域，扩行后需在图表数据源中同步调整范围；保存后重新打开可强制刷新。</w:t>
      </w:r>
    </w:p>
    <w:sectPr>
      <w:headerReference w:type="defaul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BFBF" w:sz="4" w:space="2"/>
      </w:pBdr>
      <w:tabs>
        <w:tab w:val="right" w:pos="9026"/>
      </w:tabs>
    </w:pP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示例文档 · 数据均为虚构示例</w:t>
    </w: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	第 </w:t>
      <w:fldChar w:fldCharType="begin"/>
      <w:instrText xml:space="preserve">PAGE</w:instrText>
      <w:fldChar w:fldCharType="separate"/>
      <w:fldChar w:fldCharType="end"/>
      <w:t xml:space="preserve"> 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2F5B8F" w:sz="4" w:space="2"/>
      </w:pBdr>
      <w:tabs>
        <w:tab w:val="right" w:pos="9026"/>
      </w:tabs>
    </w:pP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境核AI · 场景体验库</w:t>
    </w: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	传统企业 · AI 转型 · 经营分析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620" w:hanging="32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20" w:hanging="32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20" w:hanging="320"/>
      </w:pPr>
    </w:lvl>
  </w:abstractNum>
  <w:num w:numId="1">
    <w:abstractNumId w:val="1"/>
    <w:lvlOverride w:ilvl="0">
      <w:startOverride w:val="1"/>
    </w:lvlOverride>
  </w:num>
  <w:num w:numId="2">
    <w:abstractNumId w:val="4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YaHei" w:cs="Microsoft YaHei" w:eastAsia="Microsoft YaHei" w:hAnsi="Microsoft YaHe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80" w:before="300"/>
      <w:outlineLvl w:val="0"/>
    </w:pPr>
    <w:rPr>
      <w:rFonts w:ascii="Microsoft YaHei" w:cs="Microsoft YaHei" w:eastAsia="Microsoft YaHei" w:hAnsi="Microsoft YaHei"/>
      <w:b/>
      <w:bCs/>
      <w:color w:val="1F3864"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120" w:before="200"/>
      <w:outlineLvl w:val="1"/>
    </w:pPr>
    <w:rPr>
      <w:rFonts w:ascii="Microsoft YaHei" w:cs="Microsoft YaHei" w:eastAsia="Microsoft YaHei" w:hAnsi="Microsoft YaHei"/>
      <w:b/>
      <w:bCs/>
      <w:color w:val="2F5B8F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2026-08-31T14:59:48.418Z</dcterms:created>
  <dcterms:modified xsi:type="dcterms:W3CDTF">2026-08-31T14:59:48.418Z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