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600"/>
        <w:jc w:val="center"/>
      </w:pPr>
      <w:r>
        <w:rPr>
          <w:b/>
          <w:bCs/>
          <w:color w:val="2E75B6"/>
          <w:sz w:val="22"/>
          <w:szCs w:val="22"/>
        </w:rPr>
        <w:t xml:space="preserve">行业深度研究 · 研报摘要</w:t>
      </w:r>
    </w:p>
    <w:p>
      <w:pPr>
        <w:spacing w:after="120"/>
        <w:jc w:val="center"/>
      </w:pPr>
      <w:r>
        <w:rPr>
          <w:b/>
          <w:bCs/>
          <w:color w:val="1F3864"/>
          <w:sz w:val="36"/>
          <w:szCs w:val="36"/>
        </w:rPr>
        <w:t xml:space="preserve">保险行业2026年中期策略：负债端回暖与利差修复共振</w:t>
      </w:r>
    </w:p>
    <w:p>
      <w:pPr>
        <w:spacing w:after="300"/>
        <w:jc w:val="center"/>
      </w:pPr>
      <w:r>
        <w:rPr>
          <w:color w:val="595959"/>
          <w:sz w:val="24"/>
          <w:szCs w:val="24"/>
        </w:rPr>
        <w:t xml:space="preserve">——上市险企基本面梳理与配置建议（示例样稿）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013"/>
        <w:gridCol w:w="1500"/>
        <w:gridCol w:w="3013"/>
      </w:tblGrid>
      <w:tr>
        <w:trPr>
          <w:tblHeader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报告要素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内容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报告要素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报告类型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行业中期策略（摘要版）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行业评级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看好（维持）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发布日期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2026年8月31日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覆盖标的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5家A股上市险企（虚构示例）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分析师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张示例（执业编号：S0000000000001）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联系方式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research@example.com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数据来源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公司公告、行业协会（本样稿为虚构数据）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摘要字数</w:t>
            </w:r>
          </w:p>
        </w:tc>
        <w:tc>
          <w:tcPr>
            <w:tcW w:type="dxa" w:w="3013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约2,800字</w:t>
            </w:r>
          </w:p>
        </w:tc>
      </w:tr>
    </w:tbl>
    <w:p>
      <w:pPr>
        <w:pBdr>
          <w:top w:val="single" w:color="BFBFBF" w:sz="1"/>
          <w:left w:val="single" w:color="BFBFBF" w:sz="1"/>
          <w:bottom w:val="single" w:color="BFBFBF" w:sz="1"/>
          <w:right w:val="single" w:color="BFBFBF" w:sz="1"/>
        </w:pBdr>
        <w:shd w:fill="FFF2CC" w:val="clear"/>
        <w:spacing w:after="0" w:before="200"/>
      </w:pPr>
      <w:r>
        <w:rPr>
          <w:color w:val="7F6000"/>
          <w:sz w:val="18"/>
          <w:szCs w:val="18"/>
        </w:rPr>
        <w:t xml:space="preserve">示例数据声明：本文档为「境核AI」场景体验库的演示样稿，文中所有公司名称、数据、观点均为虚构或合理模拟的示例内容，不代表任何真实机构的研究结论，不构成投资建议，不得声称来自真实客户或真实调研。</w:t>
      </w:r>
    </w:p>
    <w:p>
      <w:pPr>
        <w:pStyle w:val="Heading1"/>
      </w:pPr>
      <w:r>
        <w:t xml:space="preserve">一、核心观点（摘要）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/>
          <w:bCs/>
          <w:sz w:val="21"/>
          <w:szCs w:val="21"/>
        </w:rPr>
        <w:t xml:space="preserve">负债端：预定利率下调后的「炒停售」透支效应基本消化，2026H1示例口径下上市险企新单保费同比+12.4%，新业务价值（NBV）同比+18.6%，分红险转型带动价值率企稳回升。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资产端：长端利率企稳与权益市场回暖共振，示例组合净投资收益率3.4%、总投资收益率4.6%，利差损担忧边际缓解，内含价值（EV）可信度修复。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财险端：车险综合成本率（COR）受非车业务拖累小幅抬升至97.2%（示例），但头部公司凭借定价与理赔管控优势，承保利润集中度进一步提升。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估值与配置：板块平均P/EV约0.68x（示例），处于近十年20%分位以下，负债端与资产端双改善下具备估值修复空间；建议关注NBV增速领先、分红险转型顺利的头部寿险公司与承保盈利稳定的财险龙头。</w:t>
      </w:r>
    </w:p>
    <w:p>
      <w:pPr>
        <w:pStyle w:val="Heading2"/>
      </w:pPr>
      <w:r>
        <w:t xml:space="preserve">与市场一致预期的差异</w:t>
      </w:r>
    </w:p>
    <w:p>
      <w:pPr>
        <w:spacing w:after="120" w:line="320"/>
      </w:pPr>
      <w:r>
        <w:rPr>
          <w:sz w:val="21"/>
          <w:szCs w:val="21"/>
        </w:rPr>
        <w:t xml:space="preserve">市场普遍担忧预定利率再度下调将压制2026年下半年新单销售；我们（示例观点）认为分红险占比提升已改变负债成本结构，「量」的波动对「价」的影响弱化，NBV增长的持续性被低估。</w:t>
      </w:r>
    </w:p>
    <w:p>
      <w:pPr>
        <w:pStyle w:val="Heading1"/>
      </w:pPr>
      <w:r>
        <w:t xml:space="preserve">二、行业景气度概览</w:t>
      </w:r>
    </w:p>
    <w:p>
      <w:pPr>
        <w:spacing w:after="120" w:line="320"/>
      </w:pPr>
      <w:r>
        <w:rPr>
          <w:sz w:val="21"/>
          <w:szCs w:val="21"/>
        </w:rPr>
        <w:t xml:space="preserve">下表为示例口径下的行业关键指标跟踪（虚构数据，用于展示摘要版式）：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26"/>
        <w:gridCol w:w="1575"/>
        <w:gridCol w:w="1575"/>
        <w:gridCol w:w="1575"/>
        <w:gridCol w:w="1575"/>
      </w:tblGrid>
      <w:tr>
        <w:trPr>
          <w:tblHeader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指标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2024A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2025A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2026H1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趋势判断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人身险原保费增速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+5.7%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+8.9%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+11.2%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回暖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财产险原保费增速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+4.6%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+5.5%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+6.1%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平稳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行业NBV增速（示例）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+9.8%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+14.2%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+18.6%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加速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分红险新单占比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18%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31%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42%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提升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车险综合成本率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96.8%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96.5%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97.2%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小幅抬升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10年期国债收益率（期末）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1.68%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1.95%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2.10%</w:t>
            </w:r>
          </w:p>
        </w:tc>
        <w:tc>
          <w:tcPr>
            <w:tcW w:type="dxa" w:w="1575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企稳回升</w:t>
            </w:r>
          </w:p>
        </w:tc>
      </w:tr>
    </w:tbl>
    <w:p>
      <w:pPr>
        <w:pStyle w:val="Heading2"/>
      </w:pPr>
      <w:r>
        <w:t xml:space="preserve">驱动因素拆解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sz w:val="21"/>
          <w:szCs w:val="21"/>
        </w:rPr>
        <w:t xml:space="preserve">需求侧：居民储蓄向保障与养老类产品迁移，个养账户扩容带来增量入口；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sz w:val="21"/>
          <w:szCs w:val="21"/>
        </w:rPr>
        <w:t xml:space="preserve">供给侧：报行合一深化压降渠道费用，银保渠道价值率显著改善；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sz w:val="21"/>
          <w:szCs w:val="21"/>
        </w:rPr>
        <w:t xml:space="preserve">政策侧：预定利率动态调整机制落地，负债成本与市场利率联动，利差损风险收敛。</w:t>
      </w:r>
    </w:p>
    <w:p>
      <w:pPr>
        <w:pStyle w:val="Heading1"/>
        <w:pageBreakBefore/>
      </w:pPr>
      <w:r>
        <w:t xml:space="preserve">三、上市险企关键指标对比（2026H1，示例数据）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26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公司（虚构）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NBV增速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NBV利润率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EV较年初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归母净利增速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P/EV</w:t>
            </w:r>
          </w:p>
        </w:tc>
      </w:tr>
      <w:tr>
        <w:trPr>
          <w:tblHeader w:val="false"/>
        </w:trPr>
        <w:tc>
          <w:tcPr>
            <w:tcW w:type="dxa" w:w="1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华安人寿A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+24.5%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28.3%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+6.8%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+15.2%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0.72x</w:t>
            </w:r>
          </w:p>
        </w:tc>
      </w:tr>
      <w:tr>
        <w:trPr>
          <w:tblHeader w:val="false"/>
        </w:trPr>
        <w:tc>
          <w:tcPr>
            <w:tcW w:type="dxa" w:w="1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泰平保险B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+19.8%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25.1%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+5.9%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+11.7%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0.65x</w:t>
            </w:r>
          </w:p>
        </w:tc>
      </w:tr>
      <w:tr>
        <w:trPr>
          <w:tblHeader w:val="false"/>
        </w:trPr>
        <w:tc>
          <w:tcPr>
            <w:tcW w:type="dxa" w:w="1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新华示例C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+16.2%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22.4%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+5.1%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+22.4%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0.58x</w:t>
            </w:r>
          </w:p>
        </w:tc>
      </w:tr>
      <w:tr>
        <w:trPr>
          <w:tblHeader w:val="false"/>
        </w:trPr>
        <w:tc>
          <w:tcPr>
            <w:tcW w:type="dxa" w:w="1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人保示例D（财险）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—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—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—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+9.6%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1.05x*</w:t>
            </w:r>
          </w:p>
        </w:tc>
      </w:tr>
      <w:tr>
        <w:trPr>
          <w:tblHeader w:val="false"/>
        </w:trPr>
        <w:tc>
          <w:tcPr>
            <w:tcW w:type="dxa" w:w="1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众安示例E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+12.1%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18.9%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+4.2%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+7.8%</w:t>
            </w:r>
          </w:p>
        </w:tc>
        <w:tc>
          <w:tcPr>
            <w:tcW w:type="dxa" w:w="144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0.61x</w:t>
            </w:r>
          </w:p>
        </w:tc>
      </w:tr>
    </w:tbl>
    <w:p>
      <w:pPr>
        <w:spacing w:after="120" w:line="320"/>
      </w:pPr>
      <w:r>
        <w:rPr>
          <w:color w:val="808080"/>
          <w:sz w:val="18"/>
          <w:szCs w:val="18"/>
        </w:rPr>
        <w:t xml:space="preserve">注：*财险公司采用P/B口径（示例值1.05x），表中「—」表示指标不适用。全部数据为虚构演示数据。</w:t>
      </w:r>
    </w:p>
    <w:p>
      <w:pPr>
        <w:pStyle w:val="Heading2"/>
      </w:pPr>
      <w:r>
        <w:t xml:space="preserve">个股观点摘要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华安人寿A（示例）：分红险转型进度领先，银保新单价值率同比+6.2pct，NBV增速与质量兼备，首推标的。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泰平保险B（示例）：代理人队伍企稳、人均产能同比+21%，负债端弹性最大，估值仍处低位。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人保示例D（示例）：车险COR 96.1%优于行业，非车业务减亏，承保利润确定性强，防御属性突出。</w:t>
      </w:r>
    </w:p>
    <w:p>
      <w:pPr>
        <w:pStyle w:val="Heading1"/>
      </w:pPr>
      <w:r>
        <w:t xml:space="preserve">四、细分赛道观点</w:t>
      </w:r>
    </w:p>
    <w:p>
      <w:pPr>
        <w:pStyle w:val="Heading2"/>
      </w:pPr>
      <w:r>
        <w:t xml:space="preserve">寿险：从「利差依赖」走向「三差均衡」</w:t>
      </w:r>
    </w:p>
    <w:p>
      <w:pPr>
        <w:spacing w:after="120" w:line="320"/>
      </w:pPr>
      <w:r>
        <w:rPr>
          <w:sz w:val="21"/>
          <w:szCs w:val="21"/>
        </w:rPr>
        <w:t xml:space="preserve">示例测算显示，头部公司死差与费差贡献占比已由2024年的31%提升至2026H1的45%，负债成本刚性下降0.4pct。分红险占比提升后，投资波动向客户端分摊，利润表稳定性增强，估值锚有望从P/EV折价向EV回归。</w:t>
      </w:r>
    </w:p>
    <w:p>
      <w:pPr>
        <w:pStyle w:val="Heading2"/>
      </w:pPr>
      <w:r>
        <w:t xml:space="preserve">财险：承保盈利分化，龙头护城河加深</w:t>
      </w:r>
    </w:p>
    <w:p>
      <w:pPr>
        <w:spacing w:after="120" w:line="320"/>
      </w:pPr>
      <w:r>
        <w:rPr>
          <w:sz w:val="21"/>
          <w:szCs w:val="21"/>
        </w:rPr>
        <w:t xml:space="preserve">车险自主定价系数放开后，中小公司费用竞争回潮，行业COR抬升；但头部公司依托数据定价与直控渠道，COR仍稳定在96%—97%区间（示例），市场份额与承保利润「双集中」逻辑延续。</w:t>
      </w:r>
    </w:p>
    <w:p>
      <w:pPr>
        <w:pStyle w:val="Heading2"/>
      </w:pPr>
      <w:r>
        <w:t xml:space="preserve">保险资管与资产端：哑铃型配置延续</w:t>
      </w:r>
    </w:p>
    <w:p>
      <w:pPr>
        <w:spacing w:after="120" w:line="320"/>
      </w:pPr>
      <w:r>
        <w:rPr>
          <w:sz w:val="21"/>
          <w:szCs w:val="21"/>
        </w:rPr>
        <w:t xml:space="preserve">示例组合中，长久期利率债+高股息OCI股票的哑铃结构进一步强化：OCI股票占比由5.8%升至8.5%，久期缺口收窄至4.1年，对利率下行的敏感度显著下降。</w:t>
      </w:r>
    </w:p>
    <w:p>
      <w:pPr>
        <w:pStyle w:val="Heading1"/>
      </w:pPr>
      <w:r>
        <w:t xml:space="preserve">五、催化剂与风险提示</w:t>
      </w:r>
    </w:p>
    <w:p>
      <w:pPr>
        <w:pStyle w:val="Heading2"/>
      </w:pPr>
      <w:r>
        <w:t xml:space="preserve">潜在催化剂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2026年三季报NBV增速超预期；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长端利率中枢继续上移，利差预期改善；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b w:val="false"/>
          <w:bCs w:val="false"/>
          <w:sz w:val="21"/>
          <w:szCs w:val="21"/>
        </w:rPr>
        <w:t xml:space="preserve">个人养老金税优额度提升等政策落地。</w:t>
      </w:r>
    </w:p>
    <w:p>
      <w:pPr>
        <w:pStyle w:val="Heading2"/>
      </w:pPr>
      <w:r>
        <w:t xml:space="preserve">风险提示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sz w:val="21"/>
          <w:szCs w:val="21"/>
        </w:rPr>
        <w:t xml:space="preserve">长端利率超预期下行，利差损压力重新加大；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sz w:val="21"/>
          <w:szCs w:val="21"/>
        </w:rPr>
        <w:t xml:space="preserve">权益市场大幅波动，拖累总投资收益率与净利润；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sz w:val="21"/>
          <w:szCs w:val="21"/>
        </w:rPr>
        <w:t xml:space="preserve">分红险销售不及预期，负债端转型进度放缓；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sz w:val="21"/>
          <w:szCs w:val="21"/>
        </w:rPr>
        <w:t xml:space="preserve">自然灾害超预期，推高财险赔付率；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sz w:val="21"/>
          <w:szCs w:val="21"/>
        </w:rPr>
        <w:t xml:space="preserve">本文为虚构示例，实际研究中还应提示数据口径与模型假设风险。</w:t>
      </w:r>
    </w:p>
    <w:p>
      <w:pPr>
        <w:pStyle w:val="Heading1"/>
        <w:pageBreakBefore/>
      </w:pPr>
      <w:r>
        <w:t xml:space="preserve">六、本模板使用说明（编辑指引）</w:t>
      </w:r>
    </w:p>
    <w:p>
      <w:pPr>
        <w:spacing w:after="120" w:line="320"/>
      </w:pPr>
      <w:r>
        <w:rPr>
          <w:sz w:val="21"/>
          <w:szCs w:val="21"/>
        </w:rPr>
        <w:t xml:space="preserve">本文档同时是一份可复用的「研报摘要」写作模板，按以下步骤替换为您的真实内容：</w:t>
      </w:r>
    </w:p>
    <w:p>
      <w:pPr>
        <w:pStyle w:val="ListParagraph"/>
        <w:numPr>
          <w:ilvl w:val="0"/>
          <w:numId w:val="5"/>
        </w:numPr>
        <w:spacing w:after="80" w:line="320"/>
      </w:pPr>
      <w:r>
        <w:rPr>
          <w:sz w:val="21"/>
          <w:szCs w:val="21"/>
        </w:rPr>
        <w:t xml:space="preserve">替换封面标题、要素表与分析师信息，删除黄色「示例数据声明」框或改写为您机构的合规声明；</w:t>
      </w:r>
    </w:p>
    <w:p>
      <w:pPr>
        <w:pStyle w:val="ListParagraph"/>
        <w:numPr>
          <w:ilvl w:val="0"/>
          <w:numId w:val="5"/>
        </w:numPr>
        <w:spacing w:after="80" w:line="320"/>
      </w:pPr>
      <w:r>
        <w:rPr>
          <w:sz w:val="21"/>
          <w:szCs w:val="21"/>
        </w:rPr>
        <w:t xml:space="preserve">「核心观点」保持4—5条以内，每条以结论开头、数据佐证在后，首条加粗突出；</w:t>
      </w:r>
    </w:p>
    <w:p>
      <w:pPr>
        <w:pStyle w:val="ListParagraph"/>
        <w:numPr>
          <w:ilvl w:val="0"/>
          <w:numId w:val="5"/>
        </w:numPr>
        <w:spacing w:after="80" w:line="320"/>
      </w:pPr>
      <w:r>
        <w:rPr>
          <w:sz w:val="21"/>
          <w:szCs w:val="21"/>
        </w:rPr>
        <w:t xml:space="preserve">行业与公司数据表可直接粘贴自配套Excel模板《012-industry-金融-保险-研报摘要-配套模板.xlsx》的「摘要看板」工作表；</w:t>
      </w:r>
    </w:p>
    <w:p>
      <w:pPr>
        <w:pStyle w:val="ListParagraph"/>
        <w:numPr>
          <w:ilvl w:val="0"/>
          <w:numId w:val="5"/>
        </w:numPr>
        <w:spacing w:after="80" w:line="320"/>
      </w:pPr>
      <w:r>
        <w:rPr>
          <w:sz w:val="21"/>
          <w:szCs w:val="21"/>
        </w:rPr>
        <w:t xml:space="preserve">「与市场一致预期的差异」是摘要的价值所在，建议保留并重点打磨；</w:t>
      </w:r>
    </w:p>
    <w:p>
      <w:pPr>
        <w:pStyle w:val="ListParagraph"/>
        <w:numPr>
          <w:ilvl w:val="0"/>
          <w:numId w:val="5"/>
        </w:numPr>
        <w:spacing w:after="80" w:line="320"/>
      </w:pPr>
      <w:r>
        <w:rPr>
          <w:sz w:val="21"/>
          <w:szCs w:val="21"/>
        </w:rPr>
        <w:t xml:space="preserve">风险提示须与正文观点一一对应，发布前逐项核对数据来源与合规要求。</w:t>
      </w:r>
    </w:p>
    <w:p>
      <w:pPr>
        <w:spacing w:after="120" w:line="320"/>
      </w:pPr>
      <w:r>
        <w:rPr>
          <w:color w:val="595959"/>
          <w:sz w:val="21"/>
          <w:szCs w:val="21"/>
        </w:rPr>
        <w:t xml:space="preserve">配套Excel模板提供：原始数据录入、指标自动计算（同比、价值率、P/EV）、数据校验与图表看板，修改数据后本摘要中的表格可同步更新。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color w:val="808080"/>
        <w:sz w:val="16"/>
        <w:szCs w:val="16"/>
      </w:rPr>
      <w:t xml:space="preserve">示例文档 · 数据均为虚构演示数据</w:t>
    </w:r>
    <w:r>
      <w:rPr>
        <w:color w:val="808080"/>
        <w:sz w:val="16"/>
        <w:szCs w:val="16"/>
      </w:rPr>
      <w:t xml:space="preserve">	第 </w:t>
    </w: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6"/>
        <w:szCs w:val="16"/>
      </w:rPr>
      <w:t xml:space="preserve"> 页，共 </w:t>
    </w:r>
    <w:r>
      <w:rPr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808080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2"/>
      </w:pBdr>
      <w:tabs>
        <w:tab w:val="right" w:pos="9026"/>
      </w:tabs>
    </w:pPr>
    <w:r>
      <w:rPr>
        <w:b/>
        <w:bCs/>
        <w:color w:val="2E75B6"/>
        <w:sz w:val="17"/>
        <w:szCs w:val="17"/>
      </w:rPr>
      <w:t xml:space="preserve">境核AI · 场景体验库</w:t>
    </w:r>
    <w:r>
      <w:rPr>
        <w:color w:val="808080"/>
        <w:sz w:val="17"/>
        <w:szCs w:val="17"/>
      </w:rPr>
      <w:t xml:space="preserve">	行业研究 | 保险 · 研报摘要示例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4"/>
      </w:pBdr>
      <w:spacing w:after="160" w:before="28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保险行业研报摘要示例</dc:title>
  <dc:creator>境核AI 场景体验库</dc:creator>
  <cp:lastModifiedBy>Un-named</cp:lastModifiedBy>
  <cp:revision>1</cp:revision>
  <dcterms:created xsi:type="dcterms:W3CDTF">2026-08-31T10:16:41.969Z</dcterms:created>
  <dcterms:modified xsi:type="dcterms:W3CDTF">2026-08-31T10:16:41.969Z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