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200"/>
        <w:jc w:val="center"/>
      </w:pPr>
      <w:r>
        <w:rPr>
          <w:color w:val="2E75B6"/>
          <w:sz w:val="32"/>
          <w:szCs w:val="32"/>
        </w:rPr>
        <w:t xml:space="preserve">金融 / 保险行业</w:t>
      </w:r>
    </w:p>
    <w:p>
      <w:pPr>
        <w:spacing w:after="240"/>
        <w:jc w:val="center"/>
      </w:pPr>
      <w:r>
        <w:rPr>
          <w:b/>
          <w:bCs/>
          <w:color w:val="1F3864"/>
          <w:sz w:val="52"/>
          <w:szCs w:val="52"/>
        </w:rPr>
        <w:t xml:space="preserve">风控分析报告模板与制度手册</w:t>
      </w:r>
    </w:p>
    <w:p>
      <w:pPr>
        <w:spacing w:after="1200"/>
        <w:jc w:val="center"/>
      </w:pPr>
      <w:r>
        <w:rPr>
          <w:color w:val="595959"/>
          <w:sz w:val="22"/>
          <w:szCs w:val="22"/>
        </w:rPr>
        <w:t xml:space="preserve">配套《风控分析模型工作簿(XLSX 主产物)》使用 · 版本 V1.0 · 2026 年 8 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文档性质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可复用模板(【蓝色加粗占位符】处替换为实际内容)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配套文件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011-industry-金融-保险-风控分析-主产物.xlsx(评分模型与看板)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适用对象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风控部、核保/审批岗、稽核合规岗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数据声明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全文数据均为虚构示例数据,仅用于演示方法论</w:t>
            </w:r>
          </w:p>
        </w:tc>
      </w:tr>
    </w:tbl>
    <w:p>
      <w:pPr>
        <w:pageBreakBefore/>
      </w:pPr>
    </w:p>
    <w:p>
      <w:pPr>
        <w:pStyle w:val="Heading1"/>
      </w:pPr>
      <w:r>
        <w:t xml:space="preserve">一、文档用途与配套关系</w:t>
      </w:r>
    </w:p>
    <w:p>
      <w:pPr>
        <w:spacing w:after="120" w:line="300"/>
      </w:pPr>
      <w:r>
        <w:t xml:space="preserve">本手册与《风控分析模型工作簿》构成一套完整的风控分析工具:工作簿负责“算”——客户级评分、组合级看板与自动校验;本手册负责“写”与“管”——统一评分口径的制度化描述、月度风控分析报告的成文模板,以及预警处置流程。两者可独立使用:仅用工作簿即可完成打分,仅用本手册亦可规范报告写作与处置动作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每月初:业务系统导出客户明细,录入工作簿「客户数据」表,确认「校验」表五项全部通过。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每月 5 日前:依据工作簿「风控看板」输出,套用本手册第四章报告模板成文。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触发预警:按本手册第五章 SOP 在时限内完成处置并留痕。</w:t>
      </w:r>
    </w:p>
    <w:p>
      <w:pPr>
        <w:pStyle w:val="Heading1"/>
      </w:pPr>
      <w:r>
        <w:t xml:space="preserve">二、风控评分框架(口径定义)</w:t>
      </w:r>
    </w:p>
    <w:p>
      <w:pPr>
        <w:spacing w:after="120" w:line="300"/>
      </w:pPr>
      <w:r>
        <w:t xml:space="preserve">评分体系覆盖六个维度,权重与阈值以工作簿「参数假设」表为准(下表为 V1.0 示例设定),调整须经风控委员会评审并同步更新两处。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000"/>
        <w:gridCol w:w="3300"/>
        <w:gridCol w:w="3026"/>
      </w:tblGrid>
      <w:tr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评分维度</w:t>
            </w:r>
          </w:p>
        </w:tc>
        <w:tc>
          <w:tcPr>
            <w:tcW w:type="dxa" w:w="1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权重</w:t>
            </w:r>
          </w:p>
        </w:tc>
        <w:tc>
          <w:tcPr>
            <w:tcW w:type="dxa" w:w="3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指标口径</w:t>
            </w:r>
          </w:p>
        </w:tc>
        <w:tc>
          <w:tcPr>
            <w:tcW w:type="dxa" w:w="30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数据来源(示例)</w:t>
            </w:r>
          </w:p>
        </w:tc>
      </w:tr>
      <w:tr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逾期表现</w:t>
            </w:r>
          </w:p>
        </w:tc>
        <w:tc>
          <w:tcPr>
            <w:tcW w:type="dxa" w:w="1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25%</w:t>
            </w:r>
          </w:p>
        </w:tc>
        <w:tc>
          <w:tcPr>
            <w:tcW w:type="dxa" w:w="3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当前逾期天数:0 天=100 分;≤30 天=70;≤60 天=40;&gt;60 天=10</w:t>
            </w:r>
          </w:p>
        </w:tc>
        <w:tc>
          <w:tcPr>
            <w:tcW w:type="dxa" w:w="30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信贷核心系统 / 保费收缴系统</w:t>
            </w:r>
          </w:p>
        </w:tc>
      </w:tr>
      <w:tr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偿债能力</w:t>
            </w:r>
          </w:p>
        </w:tc>
        <w:tc>
          <w:tcPr>
            <w:tcW w:type="dxa" w:w="1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20%</w:t>
            </w:r>
          </w:p>
        </w:tc>
        <w:tc>
          <w:tcPr>
            <w:tcW w:type="dxa" w:w="3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负债收入比 DTI:≤0.3=100;≤0.5=75;≤0.7=45;其余=15</w:t>
            </w:r>
          </w:p>
        </w:tc>
        <w:tc>
          <w:tcPr>
            <w:tcW w:type="dxa" w:w="30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进件申报 + 央行征信</w:t>
            </w:r>
          </w:p>
        </w:tc>
      </w:tr>
      <w:tr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征信活跃度</w:t>
            </w:r>
          </w:p>
        </w:tc>
        <w:tc>
          <w:tcPr>
            <w:tcW w:type="dxa" w:w="1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15%</w:t>
            </w:r>
          </w:p>
        </w:tc>
        <w:tc>
          <w:tcPr>
            <w:tcW w:type="dxa" w:w="3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近 6 个月征信查询次数:≤2=100;≤5=70;≤8=40;其余=10</w:t>
            </w:r>
          </w:p>
        </w:tc>
        <w:tc>
          <w:tcPr>
            <w:tcW w:type="dxa" w:w="30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央行征信报告</w:t>
            </w:r>
          </w:p>
        </w:tc>
      </w:tr>
      <w:tr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历史行为</w:t>
            </w:r>
          </w:p>
        </w:tc>
        <w:tc>
          <w:tcPr>
            <w:tcW w:type="dxa" w:w="1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15%</w:t>
            </w:r>
          </w:p>
        </w:tc>
        <w:tc>
          <w:tcPr>
            <w:tcW w:type="dxa" w:w="3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历史理赔 / 违约次数:0=100;1=70;2=40;≥3=10</w:t>
            </w:r>
          </w:p>
        </w:tc>
        <w:tc>
          <w:tcPr>
            <w:tcW w:type="dxa" w:w="30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理赔系统 / 催收系统</w:t>
            </w:r>
          </w:p>
        </w:tc>
      </w:tr>
      <w:tr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客户账龄</w:t>
            </w:r>
          </w:p>
        </w:tc>
        <w:tc>
          <w:tcPr>
            <w:tcW w:type="dxa" w:w="1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10%</w:t>
            </w:r>
          </w:p>
        </w:tc>
        <w:tc>
          <w:tcPr>
            <w:tcW w:type="dxa" w:w="3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合作月数:≥36=100;≥24=80;≥12=60;&lt;12=40</w:t>
            </w:r>
          </w:p>
        </w:tc>
        <w:tc>
          <w:tcPr>
            <w:tcW w:type="dxa" w:w="30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客户关系系统 CRM</w:t>
            </w:r>
          </w:p>
        </w:tc>
      </w:tr>
      <w:tr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反欺诈</w:t>
            </w:r>
          </w:p>
        </w:tc>
        <w:tc>
          <w:tcPr>
            <w:tcW w:type="dxa" w:w="1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15%</w:t>
            </w:r>
          </w:p>
        </w:tc>
        <w:tc>
          <w:tcPr>
            <w:tcW w:type="dxa" w:w="3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欺诈疑似标记命中即 0 分,未命中 100 分</w:t>
            </w:r>
          </w:p>
        </w:tc>
        <w:tc>
          <w:tcPr>
            <w:tcW w:type="dxa" w:w="30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反欺诈规则引擎 / 黑名单库</w:t>
            </w:r>
          </w:p>
        </w:tc>
      </w:tr>
    </w:tbl>
    <w:p>
      <w:pPr>
        <w:pStyle w:val="Heading2"/>
      </w:pPr>
      <w:r>
        <w:t xml:space="preserve">综合得分与等级</w:t>
      </w:r>
    </w:p>
    <w:p>
      <w:pPr>
        <w:spacing w:after="120" w:line="300"/>
      </w:pPr>
      <w:r>
        <w:t xml:space="preserve">综合得分 = Σ(维度得分 × 权重),满分 100。等级划分及处置策略如下: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5926"/>
      </w:tblGrid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等级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得分区间</w:t>
            </w:r>
          </w:p>
        </w:tc>
        <w:tc>
          <w:tcPr>
            <w:tcW w:type="dxa" w:w="59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处置策略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 低风险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[85, 100]</w:t>
            </w:r>
          </w:p>
        </w:tc>
        <w:tc>
          <w:tcPr>
            <w:tcW w:type="dxa" w:w="59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正常承保 / 放款;可给予费率优惠或额度上浮,年度复核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 关注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[70, 85)</w:t>
            </w:r>
          </w:p>
        </w:tc>
        <w:tc>
          <w:tcPr>
            <w:tcW w:type="dxa" w:w="59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正常通过;纳入季度复核名单,关注指标趋势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 次级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[55, 70)</w:t>
            </w:r>
          </w:p>
        </w:tc>
        <w:tc>
          <w:tcPr>
            <w:tcW w:type="dxa" w:w="59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人工复核;追加保证金、共保或加费承保,半年复核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 高风险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[0, 55)</w:t>
            </w:r>
          </w:p>
        </w:tc>
        <w:tc>
          <w:tcPr>
            <w:tcW w:type="dxa" w:w="59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原则上拒保 / 拒贷,仅限足值抵押类产品;自动进入预警名单</w:t>
            </w:r>
          </w:p>
        </w:tc>
      </w:tr>
    </w:tbl>
    <w:p>
      <w:pPr>
        <w:spacing w:after="120" w:line="300"/>
      </w:pPr>
      <w:r>
        <w:t xml:space="preserve">补充规则:反欺诈标记命中的客户,无论综合得分高低,一律进入预警名单并冻结新增业务。</w:t>
      </w:r>
    </w:p>
    <w:p>
      <w:pPr>
        <w:pStyle w:val="Heading1"/>
      </w:pPr>
      <w:r>
        <w:t xml:space="preserve">三、月度风控分析报告模板(可直接填写)</w:t>
      </w:r>
    </w:p>
    <w:p>
      <w:pPr>
        <w:spacing w:after="120" w:line="300"/>
      </w:pPr>
      <w:r>
        <w:t xml:space="preserve">以下为标准报告结构,【蓝色加粗】为占位符,替换后删除括号说明即可发布。</w:t>
      </w:r>
    </w:p>
    <w:p>
      <w:pPr>
        <w:pStyle w:val="Heading2"/>
      </w:pPr>
      <w:r>
        <w:t xml:space="preserve">3.1 报告基本信息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字段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填写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报告期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【YYYY 年 MM 月】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报告编号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【RC-YYYYMM-序号】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编制人 / 部门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【姓名 / 风控部】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数据截止日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【YYYY-MM-DD】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【工作簿「风控看板」+ 业务系统台账】</w:t>
            </w:r>
          </w:p>
        </w:tc>
      </w:tr>
    </w:tbl>
    <w:p>
      <w:pPr>
        <w:pStyle w:val="Heading2"/>
      </w:pPr>
      <w:r>
        <w:t xml:space="preserve">3.2 组合概览</w:t>
      </w:r>
    </w:p>
    <w:p>
      <w:pPr>
        <w:spacing w:after="120" w:line="300"/>
      </w:pPr>
      <w:r>
        <w:t xml:space="preserve">本报告期在管客户 </w:t>
      </w:r>
      <w:r>
        <w:rPr>
          <w:b/>
          <w:bCs/>
          <w:color w:val="2E75B6"/>
        </w:rPr>
        <w:t xml:space="preserve">【N】</w:t>
      </w:r>
      <w:r>
        <w:t xml:space="preserve"> 户,在险金额 </w:t>
      </w:r>
      <w:r>
        <w:rPr>
          <w:b/>
          <w:bCs/>
          <w:color w:val="2E75B6"/>
        </w:rPr>
        <w:t xml:space="preserve">【X】</w:t>
      </w:r>
      <w:r>
        <w:t xml:space="preserve"> 万元;组合平均综合得分 </w:t>
      </w:r>
      <w:r>
        <w:rPr>
          <w:b/>
          <w:bCs/>
          <w:color w:val="2E75B6"/>
        </w:rPr>
        <w:t xml:space="preserve">【S】</w:t>
      </w:r>
      <w:r>
        <w:t xml:space="preserve"> 分,较上期 </w:t>
      </w:r>
      <w:r>
        <w:rPr>
          <w:b/>
          <w:bCs/>
          <w:color w:val="2E75B6"/>
        </w:rPr>
        <w:t xml:space="preserve">【上升/下降 Δ 分】</w:t>
      </w:r>
      <w:r>
        <w:t xml:space="preserve">。高风险(D 级)占比 </w:t>
      </w:r>
      <w:r>
        <w:rPr>
          <w:b/>
          <w:bCs/>
          <w:color w:val="2E75B6"/>
        </w:rPr>
        <w:t xml:space="preserve">【P%】</w:t>
      </w:r>
      <w:r>
        <w:t xml:space="preserve">,预警客户 </w:t>
      </w:r>
      <w:r>
        <w:rPr>
          <w:b/>
          <w:bCs/>
          <w:color w:val="2E75B6"/>
        </w:rPr>
        <w:t xml:space="preserve">【M】</w:t>
      </w:r>
      <w:r>
        <w:t xml:space="preserve"> 户、涉及在险金额 </w:t>
      </w:r>
      <w:r>
        <w:rPr>
          <w:b/>
          <w:bCs/>
          <w:color w:val="2E75B6"/>
        </w:rPr>
        <w:t xml:space="preserve">【Y】</w:t>
      </w:r>
      <w:r>
        <w:t xml:space="preserve"> 万元。(以上取数口径:工作簿「风控看板」B4:C9 区域)</w:t>
      </w:r>
    </w:p>
    <w:p>
      <w:pPr>
        <w:pStyle w:val="Heading2"/>
      </w:pPr>
      <w:r>
        <w:t xml:space="preserve">3.3 等级分布与迁移</w:t>
      </w:r>
    </w:p>
    <w:p>
      <w:pPr>
        <w:spacing w:after="120" w:line="300"/>
      </w:pPr>
      <w:r>
        <w:t xml:space="preserve">A/B/C/D 四级分布为 </w:t>
      </w:r>
      <w:r>
        <w:rPr>
          <w:b/>
          <w:bCs/>
          <w:color w:val="2E75B6"/>
        </w:rPr>
        <w:t xml:space="preserve">【a% / b% / c% / d%】</w:t>
      </w:r>
      <w:r>
        <w:t xml:space="preserve">;与上期相比,主要迁移为 </w:t>
      </w:r>
      <w:r>
        <w:rPr>
          <w:b/>
          <w:bCs/>
          <w:color w:val="2E75B6"/>
        </w:rPr>
        <w:t xml:space="preserve">【例:B→C 迁移 3 户,集中于经营贷】</w:t>
      </w:r>
      <w:r>
        <w:t xml:space="preserve">。迁移主因:</w:t>
      </w:r>
      <w:r>
        <w:rPr>
          <w:b/>
          <w:bCs/>
          <w:color w:val="2E75B6"/>
        </w:rPr>
        <w:t xml:space="preserve">【逾期天数上升 / DTI 恶化 / 征信查询激增等】</w:t>
      </w:r>
      <w:r>
        <w:t xml:space="preserve">。</w:t>
      </w:r>
    </w:p>
    <w:p>
      <w:pPr>
        <w:pStyle w:val="Heading2"/>
      </w:pPr>
      <w:r>
        <w:t xml:space="preserve">3.4 重点风险事项(逐项列示)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500"/>
        <w:gridCol w:w="3600"/>
        <w:gridCol w:w="2626"/>
      </w:tblGrid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序号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客户/产品线</w:t>
            </w:r>
          </w:p>
        </w:tc>
        <w:tc>
          <w:tcPr>
            <w:tcW w:type="dxa" w:w="3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风险描述</w:t>
            </w:r>
          </w:p>
        </w:tc>
        <w:tc>
          <w:tcPr>
            <w:tcW w:type="dxa" w:w="26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处置进展</w:t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【C00XX】</w:t>
            </w:r>
          </w:p>
        </w:tc>
        <w:tc>
          <w:tcPr>
            <w:tcW w:type="dxa" w:w="3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【例:逾期 65 天且 DTI 0.82,综合得分 38.5,列 D 级】</w:t>
            </w:r>
          </w:p>
        </w:tc>
        <w:tc>
          <w:tcPr>
            <w:tcW w:type="dxa" w:w="26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【已启动催收 / 已拒续保】</w:t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【产品线】</w:t>
            </w:r>
          </w:p>
        </w:tc>
        <w:tc>
          <w:tcPr>
            <w:tcW w:type="dxa" w:w="3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【例:经营贷平均得分环比下降 6 分】</w:t>
            </w:r>
          </w:p>
        </w:tc>
        <w:tc>
          <w:tcPr>
            <w:tcW w:type="dxa" w:w="26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【收紧准入,上调保证金】</w:t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【…】</w:t>
            </w:r>
          </w:p>
        </w:tc>
        <w:tc>
          <w:tcPr>
            <w:tcW w:type="dxa" w:w="3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【…】</w:t>
            </w:r>
          </w:p>
        </w:tc>
        <w:tc>
          <w:tcPr>
            <w:tcW w:type="dxa" w:w="26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【…】</w:t>
            </w:r>
          </w:p>
        </w:tc>
      </w:tr>
    </w:tbl>
    <w:p>
      <w:pPr>
        <w:pStyle w:val="Heading2"/>
      </w:pPr>
      <w:r>
        <w:t xml:space="preserve">3.5 结论与下期措施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结论:【组合整体风险可控 / 局部恶化,聚焦××产品线】。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措施一:【调整××维度权重 / 阈值,提交风控委员会】。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措施二:【对预警名单开展专项核查,DD 日前完成】。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措施三:【与业务部门联合复盘准入规则】。</w:t>
      </w:r>
    </w:p>
    <w:p>
      <w:pPr>
        <w:pStyle w:val="Heading1"/>
        <w:pageBreakBefore/>
      </w:pPr>
      <w:r>
        <w:t xml:space="preserve">四、预警处置 SOP</w:t>
      </w:r>
    </w:p>
    <w:p>
      <w:pPr>
        <w:spacing w:after="120" w:line="300"/>
      </w:pPr>
      <w:r>
        <w:t xml:space="preserve">凡进入预警名单(D 级或欺诈命中)的客户,按以下步骤在时限内闭环: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触发确认(当日):风控岗核对工作簿预警标记与源系统数据一致,排除数据录入错误。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初步核查(T+2 个工作日):调取征信、理赔/还款流水与影像资料,形成核查记录。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定级审议(T+5 个工作日):风控经理复核并确认处置类别——催收、加费、限额、拒保/拒贷或移送反欺诈调查。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处置执行(T+10 个工作日):业务系统落地管控动作,同步冻结新增授信/承保。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复盘归档(次月 5 日前):处置结果回写台账,更新工作簿数据,纳入下期报告 3.4 节。</w:t>
      </w:r>
    </w:p>
    <w:p>
      <w:pPr>
        <w:pStyle w:val="Heading2"/>
      </w:pPr>
      <w:r>
        <w:t xml:space="preserve">时限与责任矩阵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300"/>
        <w:gridCol w:w="2200"/>
        <w:gridCol w:w="2226"/>
      </w:tblGrid>
      <w:tr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环节</w:t>
            </w:r>
          </w:p>
        </w:tc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责任岗位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时限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输出物</w:t>
            </w:r>
          </w:p>
        </w:tc>
      </w:tr>
      <w:tr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触发确认</w:t>
            </w:r>
          </w:p>
        </w:tc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风控专员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当日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预警确认单</w:t>
            </w:r>
          </w:p>
        </w:tc>
      </w:tr>
      <w:tr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初步核查</w:t>
            </w:r>
          </w:p>
        </w:tc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风控专员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T+2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核查记录</w:t>
            </w:r>
          </w:p>
        </w:tc>
      </w:tr>
      <w:tr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定级审议</w:t>
            </w:r>
          </w:p>
        </w:tc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风控经理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T+5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审议纪要</w:t>
            </w:r>
          </w:p>
        </w:tc>
      </w:tr>
      <w:tr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处置执行</w:t>
            </w:r>
          </w:p>
        </w:tc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业务运营岗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T+10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系统截图留痕</w:t>
            </w:r>
          </w:p>
        </w:tc>
      </w:tr>
      <w:tr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复盘归档</w:t>
            </w:r>
          </w:p>
        </w:tc>
        <w:tc>
          <w:tcPr>
            <w:tcW w:type="dxa" w:w="2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风控专员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次月 5 日前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台账 + 报告章节</w:t>
            </w:r>
          </w:p>
        </w:tc>
      </w:tr>
    </w:tbl>
    <w:p>
      <w:pPr>
        <w:pStyle w:val="Heading1"/>
      </w:pPr>
      <w:r>
        <w:t xml:space="preserve">五、版本与审批记录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800"/>
        <w:gridCol w:w="3600"/>
        <w:gridCol w:w="2226"/>
      </w:tblGrid>
      <w:tr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版本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变更说明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审批人</w:t>
            </w:r>
          </w:p>
        </w:tc>
      </w:tr>
      <w:tr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V1.0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2026-08-31</w:t>
            </w:r>
          </w:p>
        </w:tc>
        <w:tc>
          <w:tcPr>
            <w:tcW w:type="dxa" w:w="3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首版发布(示例)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【风控委员会】</w:t>
            </w:r>
          </w:p>
        </w:tc>
      </w:tr>
      <w:tr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【V1.1】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【日期】</w:t>
            </w:r>
          </w:p>
        </w:tc>
        <w:tc>
          <w:tcPr>
            <w:tcW w:type="dxa" w:w="3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【变更说明】</w:t>
            </w:r>
          </w:p>
        </w:tc>
        <w:tc>
          <w:tcPr>
            <w:tcW w:type="dxa" w:w="2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4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【审批人】</w:t>
            </w:r>
          </w:p>
        </w:tc>
      </w:tr>
    </w:tbl>
    <w:p>
      <w:pPr>
        <w:spacing w:before="240"/>
      </w:pPr>
      <w:r>
        <w:rPr>
          <w:i/>
          <w:iCs/>
          <w:color w:val="595959"/>
          <w:sz w:val="18"/>
          <w:szCs w:val="18"/>
        </w:rPr>
        <w:t xml:space="preserve">免责声明:本模板及其中全部数值均为虚构示例,仅用于演示风控分析方法论,不构成任何真实机构的制度文件,亦不代表真实客户或真实调研结果。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jc w:val="center"/>
    </w:pPr>
    <w:r>
      <w:rPr>
        <w:color w:val="595959"/>
        <w:sz w:val="16"/>
        <w:szCs w:val="16"/>
      </w:rPr>
      <w:t xml:space="preserve">本文档为虚构示例,不代表真实客户或真实调研 — 第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页,共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595959"/>
        <w:sz w:val="16"/>
        <w:szCs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2"/>
      </w:pBdr>
      <w:tabs>
        <w:tab w:val="right" w:pos="9026"/>
      </w:tabs>
    </w:pPr>
    <w:r>
      <w:rPr>
        <w:color w:val="595959"/>
        <w:sz w:val="18"/>
        <w:szCs w:val="18"/>
      </w:rPr>
      <w:t xml:space="preserve">金融 / 保险 · 风控分析配套模板</w:t>
    </w:r>
    <w:r>
      <w:rPr>
        <w:color w:val="595959"/>
        <w:sz w:val="18"/>
        <w:szCs w:val="18"/>
      </w:rPr>
      <w:t xml:space="preserve">	境核AI 场景体验库 · 示例文件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YaHei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6" w:space="2"/>
      </w:pBdr>
      <w:spacing w:after="180" w:before="280"/>
      <w:outlineLvl w:val="0"/>
    </w:pPr>
    <w:rPr>
      <w:rFonts w:ascii="Arial" w:eastAsia="Microsoft YaHei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eastAsia="Microsoft YaHei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金融/保险 风控分析配套模板</dc:title>
  <dc:creator>境核AI 场景体验库</dc:creator>
  <cp:lastModifiedBy>Un-named</cp:lastModifiedBy>
  <cp:revision>1</cp:revision>
  <dcterms:created xsi:type="dcterms:W3CDTF">2026-08-31T10:16:25.303Z</dcterms:created>
  <dcterms:modified xsi:type="dcterms:W3CDTF">2026-08-31T10:16:25.303Z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