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  <w:jc w:val="center"/>
      </w:pPr>
      <w:r>
        <w:rPr>
          <w:rFonts w:ascii="Microsoft YaHei" w:cs="Microsoft YaHei" w:eastAsia="Microsoft YaHei" w:hAnsi="Microsoft YaHei"/>
          <w:color w:val="2E75B6"/>
          <w:sz w:val="24"/>
          <w:szCs w:val="24"/>
        </w:rPr>
        <w:t xml:space="preserve">境核AI · 场景体验库示例</w:t>
      </w:r>
    </w:p>
    <w:p>
      <w:pPr>
        <w:spacing w:after="240" w:before="480"/>
        <w:jc w:val="center"/>
      </w:pPr>
      <w:r>
        <w:rPr>
          <w:rFonts w:ascii="Microsoft YaHei" w:cs="Microsoft YaHei" w:eastAsia="Microsoft YaHei" w:hAnsi="Microsoft YaHei"/>
          <w:b/>
          <w:bCs/>
          <w:color w:val="1F4E79"/>
          <w:sz w:val="56"/>
          <w:szCs w:val="56"/>
        </w:rPr>
        <w:t xml:space="preserve">保险理赔初审操作手册</w:t>
      </w:r>
    </w:p>
    <w:p>
      <w:pPr>
        <w:spacing w:after="120"/>
        <w:jc w:val="center"/>
      </w:pPr>
      <w:r>
        <w:rPr>
          <w:rFonts w:ascii="Microsoft YaHei" w:cs="Microsoft YaHei" w:eastAsia="Microsoft YaHei" w:hAnsi="Microsoft YaHei"/>
          <w:color w:val="595959"/>
          <w:sz w:val="26"/>
          <w:szCs w:val="26"/>
        </w:rPr>
        <w:t xml:space="preserve">含流程规范、材料清单、五查要点、风险筛查与时效标准</w:t>
      </w:r>
    </w:p>
    <w:p>
      <w:pPr>
        <w:pBdr>
          <w:top w:val="single" w:color="2E75B6" w:sz="6" w:space="8"/>
        </w:pBdr>
        <w:spacing w:after="0" w:before="480"/>
        <w:jc w:val="center"/>
      </w:pPr>
      <w:r>
        <w:rPr>
          <w:rFonts w:ascii="Microsoft YaHei" w:cs="Microsoft YaHei" w:eastAsia="Microsoft YaHei" w:hAnsi="Microsoft YaHei"/>
          <w:color w:val="595959"/>
          <w:sz w:val="21"/>
          <w:szCs w:val="21"/>
        </w:rPr>
        <w:t xml:space="preserve">版本 V1.0    |    编制:理赔运营部(示例)    |    日期:2026 年 8 月</w:t>
      </w:r>
    </w:p>
    <w:p>
      <w:pPr>
        <w:spacing w:after="0" w:before="3600"/>
        <w:jc w:val="center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本文档为示例产物,所有机构名称、案件编号、金额与数据均为虚构示例,</w:t>
      </w:r>
    </w:p>
    <w:p>
      <w:pPr>
        <w:jc w:val="center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不代表任何真实客户、真实案件或真实调研结果,使用前请按本机构制度校订。</w:t>
      </w:r>
    </w:p>
    <w:p>
      <w:r>
        <w:br w:type="page"/>
      </w:r>
    </w:p>
    <w:p>
      <w:pPr>
        <w:pStyle w:val="Heading1"/>
      </w:pPr>
      <w:r>
        <w:t xml:space="preserve">目 录</w:t>
      </w:r>
    </w:p>
    <w:p>
      <w:pPr>
        <w:tabs>
          <w:tab w:val="right" w:pos="9026" w:leader="dot"/>
        </w:tabs>
        <w:spacing w:after="140" w:line="320"/>
      </w:pP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1. 文档说明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	3</w:t>
      </w:r>
    </w:p>
    <w:p>
      <w:pPr>
        <w:tabs>
          <w:tab w:val="right" w:pos="9026" w:leader="dot"/>
        </w:tabs>
        <w:spacing w:after="140" w:line="320"/>
      </w:pP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2. 理赔初审总体流程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	4</w:t>
      </w:r>
    </w:p>
    <w:p>
      <w:pPr>
        <w:tabs>
          <w:tab w:val="right" w:pos="8666" w:leader="dot"/>
        </w:tabs>
        <w:spacing w:after="140" w:line="320"/>
        <w:ind w:left="360"/>
      </w:pPr>
      <w:r>
        <w:rPr>
          <w:rFonts w:ascii="Microsoft YaHei" w:cs="Microsoft YaHei" w:eastAsia="Microsoft YaHei" w:hAnsi="Microsoft YaHei"/>
          <w:b w:val="false"/>
          <w:bCs w:val="false"/>
          <w:sz w:val="22"/>
          <w:szCs w:val="22"/>
        </w:rPr>
        <w:t xml:space="preserve">2.1 直通赔付通道条件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	4</w:t>
      </w:r>
    </w:p>
    <w:p>
      <w:pPr>
        <w:tabs>
          <w:tab w:val="right" w:pos="9026" w:leader="dot"/>
        </w:tabs>
        <w:spacing w:after="140" w:line="320"/>
      </w:pP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3. 材料完整性审核清单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	5</w:t>
      </w:r>
    </w:p>
    <w:p>
      <w:pPr>
        <w:tabs>
          <w:tab w:val="right" w:pos="9026" w:leader="dot"/>
        </w:tabs>
        <w:spacing w:after="140" w:line="320"/>
      </w:pP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4. 初审「五查」要点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	6</w:t>
      </w:r>
    </w:p>
    <w:p>
      <w:pPr>
        <w:tabs>
          <w:tab w:val="right" w:pos="9026" w:leader="dot"/>
        </w:tabs>
        <w:spacing w:after="140" w:line="320"/>
      </w:pP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5. 风险信号与反欺诈筛查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	7</w:t>
      </w:r>
    </w:p>
    <w:p>
      <w:pPr>
        <w:tabs>
          <w:tab w:val="right" w:pos="9026" w:leader="dot"/>
        </w:tabs>
        <w:spacing w:after="140" w:line="320"/>
      </w:pP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6. 初审结论与时效标准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	8</w:t>
      </w:r>
    </w:p>
    <w:p>
      <w:pPr>
        <w:tabs>
          <w:tab w:val="right" w:pos="9026" w:leader="dot"/>
        </w:tabs>
        <w:spacing w:after="140" w:line="320"/>
      </w:pP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7. 岗位职责与审批权限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	9</w:t>
      </w:r>
    </w:p>
    <w:p>
      <w:pPr>
        <w:tabs>
          <w:tab w:val="right" w:pos="9026" w:leader="dot"/>
        </w:tabs>
        <w:spacing w:after="140" w:line="320"/>
      </w:pP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8. 质检与考核指标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	9</w:t>
      </w:r>
    </w:p>
    <w:p>
      <w:pPr>
        <w:tabs>
          <w:tab w:val="right" w:pos="9026" w:leader="dot"/>
        </w:tabs>
        <w:spacing w:after="140" w:line="320"/>
      </w:pP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附录 A:初审意见书模板(示例)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	10</w:t>
      </w:r>
    </w:p>
    <w:p>
      <w:pPr>
        <w:tabs>
          <w:tab w:val="right" w:pos="9026" w:leader="dot"/>
        </w:tabs>
        <w:spacing w:after="140" w:line="320"/>
      </w:pPr>
      <w:r>
        <w:rPr>
          <w:rFonts w:ascii="Microsoft YaHei" w:cs="Microsoft YaHei" w:eastAsia="Microsoft YaHei" w:hAnsi="Microsoft YaHei"/>
          <w:b/>
          <w:bCs/>
          <w:sz w:val="22"/>
          <w:szCs w:val="22"/>
        </w:rPr>
        <w:t xml:space="preserve">附录 B:示例数据声明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	10</w:t>
      </w:r>
    </w:p>
    <w:p>
      <w:r>
        <w:br w:type="page"/>
      </w:r>
    </w:p>
    <w:p>
      <w:pPr>
        <w:pStyle w:val="Heading1"/>
      </w:pPr>
      <w:r>
        <w:t xml:space="preserve">1. 文档说明</w:t>
      </w:r>
    </w:p>
    <w:p>
      <w:pPr>
        <w:pStyle w:val="Heading2"/>
      </w:pPr>
      <w:r>
        <w:t xml:space="preserve">1.1 编制目的</w:t>
      </w:r>
    </w:p>
    <w:p>
      <w:pPr>
        <w:spacing w:after="12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本手册用于规范财产险与人身险理赔案件的初审环节作业标准,统一材料审核口径、风险筛查规则与初审结论出具方式,确保初审环节做到「快赔有依据、拒赔有理由、转办有轨迹」。</w:t>
      </w:r>
    </w:p>
    <w:p>
      <w:pPr>
        <w:pStyle w:val="Heading2"/>
      </w:pPr>
      <w:r>
        <w:t xml:space="preserve">1.2 适用范围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适用险种:车险、意外险、住院医疗险、家财险(示例范围,可按机构实际扩展);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适用环节:自报案受理完成、案件分配至初审岗起,至初审结论出具并流转下一环节止;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适用岗位:理赔初审岗、初审复核岗、理赔运营管理岗。</w:t>
      </w:r>
    </w:p>
    <w:p>
      <w:pPr>
        <w:pStyle w:val="Heading2"/>
      </w:pPr>
      <w:r>
        <w:t xml:space="preserve">1.3 术语定义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226"/>
      </w:tblGrid>
      <w:tr>
        <w:trPr>
          <w:tblHeader/>
        </w:trPr>
        <w:tc>
          <w:tcPr>
            <w:tcW w:type="dxa" w:w="1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术语</w:t>
            </w:r>
          </w:p>
        </w:tc>
        <w:tc>
          <w:tcPr>
            <w:tcW w:type="dxa" w:w="72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定义</w:t>
            </w:r>
          </w:p>
        </w:tc>
      </w:tr>
      <w:tr>
        <w:tc>
          <w:tcPr>
            <w:tcW w:type="dxa" w:w="1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理赔初审</w:t>
            </w:r>
          </w:p>
        </w:tc>
        <w:tc>
          <w:tcPr>
            <w:tcW w:type="dxa" w:w="72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对报案案件的材料完整性、保单有效性、责任归属、金额合理性与欺诈风险进行第一轮书面审核,并给出初审结论的作业环节。</w:t>
            </w:r>
          </w:p>
        </w:tc>
      </w:tr>
      <w:tr>
        <w:tc>
          <w:tcPr>
            <w:tcW w:type="dxa" w:w="1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五查要点</w:t>
            </w:r>
          </w:p>
        </w:tc>
        <w:tc>
          <w:tcPr>
            <w:tcW w:type="dxa" w:w="72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初审核心动作:查保单、查出险、查责任、查金额、查风险。</w:t>
            </w:r>
          </w:p>
        </w:tc>
      </w:tr>
      <w:tr>
        <w:tc>
          <w:tcPr>
            <w:tcW w:type="dxa" w:w="1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红旗信号</w:t>
            </w:r>
          </w:p>
        </w:tc>
        <w:tc>
          <w:tcPr>
            <w:tcW w:type="dxa" w:w="72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提示欺诈或异常风险、需升级处理的预警特征,详见第 5 章。</w:t>
            </w:r>
          </w:p>
        </w:tc>
      </w:tr>
      <w:tr>
        <w:tc>
          <w:tcPr>
            <w:tcW w:type="dxa" w:w="1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直通赔付</w:t>
            </w:r>
          </w:p>
        </w:tc>
        <w:tc>
          <w:tcPr>
            <w:tcW w:type="dxa" w:w="72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满足小额、低风险、材料齐全条件,初审后可直接进入赔付的快速通道。</w:t>
            </w:r>
          </w:p>
        </w:tc>
      </w:tr>
      <w:tr>
        <w:tc>
          <w:tcPr>
            <w:tcW w:type="dxa" w:w="1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SLA 时效</w:t>
            </w:r>
          </w:p>
        </w:tc>
        <w:tc>
          <w:tcPr>
            <w:tcW w:type="dxa" w:w="72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各环节承诺完成时限,以工作日/小时计,详见第 6 章。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5B6" w:sz="4"/>
              <w:left w:val="single" w:color="2E75B6" w:sz="12"/>
              <w:bottom w:val="single" w:color="2E75B6" w:sz="4"/>
              <w:right w:val="single" w:color="2E75B6" w:sz="4"/>
            </w:tcBorders>
            <w:shd w:fill="EAF1F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21"/>
                <w:szCs w:val="21"/>
              </w:rPr>
              <w:t xml:space="preserve">配套工具</w:t>
            </w:r>
          </w:p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本手册配套《理赔初审工作台模板(XLSX)》使用,模板内含案件登记台账、初审评分卡、材料核对与风险信号勾选、自动校验与汇总看板,可直接落地执行本手册第 3-6 章的规则。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2. 理赔初审总体流程</w:t>
      </w:r>
    </w:p>
    <w:p>
      <w:pPr>
        <w:spacing w:after="12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初审环节共 6 个标准步骤,单证齐全的普通案件应在 1 个工作日内完成初审。流程如下: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100"/>
        <w:gridCol w:w="4326"/>
        <w:gridCol w:w="1700"/>
      </w:tblGrid>
      <w:tr>
        <w:trPr>
          <w:tblHeader/>
        </w:trPr>
        <w:tc>
          <w:tcPr>
            <w:tcW w:type="dxa" w:w="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步骤</w:t>
            </w:r>
          </w:p>
        </w:tc>
        <w:tc>
          <w:tcPr>
            <w:tcW w:type="dxa" w:w="21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环节</w:t>
            </w:r>
          </w:p>
        </w:tc>
        <w:tc>
          <w:tcPr>
            <w:tcW w:type="dxa" w:w="43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关键动作</w:t>
            </w:r>
          </w:p>
        </w:tc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责任岗位</w:t>
            </w:r>
          </w:p>
        </w:tc>
      </w:tr>
      <w:tr>
        <w:tc>
          <w:tcPr>
            <w:tcW w:type="dxa" w:w="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①</w:t>
            </w:r>
          </w:p>
        </w:tc>
        <w:tc>
          <w:tcPr>
            <w:tcW w:type="dxa" w:w="21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案件接收</w:t>
            </w:r>
          </w:p>
        </w:tc>
        <w:tc>
          <w:tcPr>
            <w:tcW w:type="dxa" w:w="43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核对系统派单信息与报案要素一致;确认案件类型、险种与金额区间,判断是否属于直通赔付通道。</w:t>
            </w:r>
          </w:p>
        </w:tc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初审岗</w:t>
            </w:r>
          </w:p>
        </w:tc>
      </w:tr>
      <w:tr>
        <w:tc>
          <w:tcPr>
            <w:tcW w:type="dxa" w:w="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②</w:t>
            </w:r>
          </w:p>
        </w:tc>
        <w:tc>
          <w:tcPr>
            <w:tcW w:type="dxa" w:w="21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材料收审</w:t>
            </w:r>
          </w:p>
        </w:tc>
        <w:tc>
          <w:tcPr>
            <w:tcW w:type="dxa" w:w="43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按第 3 章清单逐项核对材料完整性与清晰度;缺件的一次性告知补充,并在系统登记补件通知时间。</w:t>
            </w:r>
          </w:p>
        </w:tc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初审岗</w:t>
            </w:r>
          </w:p>
        </w:tc>
      </w:tr>
      <w:tr>
        <w:tc>
          <w:tcPr>
            <w:tcW w:type="dxa" w:w="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③</w:t>
            </w:r>
          </w:p>
        </w:tc>
        <w:tc>
          <w:tcPr>
            <w:tcW w:type="dxa" w:w="21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五查审核</w:t>
            </w:r>
          </w:p>
        </w:tc>
        <w:tc>
          <w:tcPr>
            <w:tcW w:type="dxa" w:w="43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执行查保单、查出险、查责任、查金额、查风险五项核心审核动作(第 4 章)。</w:t>
            </w:r>
          </w:p>
        </w:tc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初审岗</w:t>
            </w:r>
          </w:p>
        </w:tc>
      </w:tr>
      <w:tr>
        <w:tc>
          <w:tcPr>
            <w:tcW w:type="dxa" w:w="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④</w:t>
            </w:r>
          </w:p>
        </w:tc>
        <w:tc>
          <w:tcPr>
            <w:tcW w:type="dxa" w:w="21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风险筛查</w:t>
            </w:r>
          </w:p>
        </w:tc>
        <w:tc>
          <w:tcPr>
            <w:tcW w:type="dxa" w:w="43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对照红旗信号清单逐项筛查;命中中高风险信号的按第 5 章分级处置,不得自行放行。</w:t>
            </w:r>
          </w:p>
        </w:tc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初审岗</w:t>
            </w:r>
          </w:p>
        </w:tc>
      </w:tr>
      <w:tr>
        <w:tc>
          <w:tcPr>
            <w:tcW w:type="dxa" w:w="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⑤</w:t>
            </w:r>
          </w:p>
        </w:tc>
        <w:tc>
          <w:tcPr>
            <w:tcW w:type="dxa" w:w="21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初审结论</w:t>
            </w:r>
          </w:p>
        </w:tc>
        <w:tc>
          <w:tcPr>
            <w:tcW w:type="dxa" w:w="43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出具五类结论之一(通过/补件/调查/协谈/拒赔建议),填写初审意见并附依据条款。</w:t>
            </w:r>
          </w:p>
        </w:tc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初审岗</w:t>
            </w:r>
          </w:p>
        </w:tc>
      </w:tr>
      <w:tr>
        <w:tc>
          <w:tcPr>
            <w:tcW w:type="dxa" w:w="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⑥</w:t>
            </w:r>
          </w:p>
        </w:tc>
        <w:tc>
          <w:tcPr>
            <w:tcW w:type="dxa" w:w="21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复核流转</w:t>
            </w:r>
          </w:p>
        </w:tc>
        <w:tc>
          <w:tcPr>
            <w:tcW w:type="dxa" w:w="43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超权限或命中复核规则的案件提交初审复核岗;复核通过后流转核赔/调查/理算环节。</w:t>
            </w:r>
          </w:p>
        </w:tc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初审复核岗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2.1 直通赔付通道条件(需同时满足)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估损金额 ≤ 5,000 元(示例阈值,按机构权限表调整);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材料齐全、影像清晰,五查要点全部通过;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未命中任何红旗信号,客户近 12 个月出险次数 ≤ 2 次;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非人伤案件、非诉讼案件、非跨区域出险案件。</w:t>
      </w:r>
    </w:p>
    <w:p>
      <w:r>
        <w:br w:type="page"/>
      </w:r>
    </w:p>
    <w:p>
      <w:pPr>
        <w:pStyle w:val="Heading1"/>
      </w:pPr>
      <w:r>
        <w:t xml:space="preserve">3. 材料完整性审核清单</w:t>
      </w:r>
    </w:p>
    <w:p>
      <w:pPr>
        <w:spacing w:after="12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初审岗应按下表逐项核对,材料状态分为「齐全 / 缺件 / 待澄清」三类。缺件必须一次性告知,禁止多次零星索要材料。</w:t>
      </w:r>
    </w:p>
    <w:p>
      <w:pPr>
        <w:pStyle w:val="Heading2"/>
      </w:pPr>
      <w:r>
        <w:t xml:space="preserve">3.1 通用材料(全险种必收)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726"/>
        <w:gridCol w:w="1700"/>
      </w:tblGrid>
      <w:tr>
        <w:trPr>
          <w:tblHeader/>
        </w:trPr>
        <w:tc>
          <w:tcPr>
            <w:tcW w:type="dxa" w:w="26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材料名称</w:t>
            </w:r>
          </w:p>
        </w:tc>
        <w:tc>
          <w:tcPr>
            <w:tcW w:type="dxa" w:w="47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审核要求</w:t>
            </w:r>
          </w:p>
        </w:tc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缺件处理</w:t>
            </w:r>
          </w:p>
        </w:tc>
      </w:tr>
      <w:tr>
        <w:tc>
          <w:tcPr>
            <w:tcW w:type="dxa" w:w="26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索赔申请书</w:t>
            </w:r>
          </w:p>
        </w:tc>
        <w:tc>
          <w:tcPr>
            <w:tcW w:type="dxa" w:w="47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被保险人/受益人签字或电子签名,索赔金额与事故描述填写完整。</w:t>
            </w:r>
          </w:p>
        </w:tc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一次性告知补充</w:t>
            </w:r>
          </w:p>
        </w:tc>
      </w:tr>
      <w:tr>
        <w:tc>
          <w:tcPr>
            <w:tcW w:type="dxa" w:w="26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有效身份证件</w:t>
            </w:r>
          </w:p>
        </w:tc>
        <w:tc>
          <w:tcPr>
            <w:tcW w:type="dxa" w:w="47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在有效期内,姓名与保单被保险人一致;代办需提交授权委托书。</w:t>
            </w:r>
          </w:p>
        </w:tc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一次性告知补充</w:t>
            </w:r>
          </w:p>
        </w:tc>
      </w:tr>
      <w:tr>
        <w:tc>
          <w:tcPr>
            <w:tcW w:type="dxa" w:w="26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银行账户信息</w:t>
            </w:r>
          </w:p>
        </w:tc>
        <w:tc>
          <w:tcPr>
            <w:tcW w:type="dxa" w:w="47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账户名与领款人一致;对公赔付需提供开户许可信息。</w:t>
            </w:r>
          </w:p>
        </w:tc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一次性告知补充</w:t>
            </w:r>
          </w:p>
        </w:tc>
      </w:tr>
      <w:tr>
        <w:tc>
          <w:tcPr>
            <w:tcW w:type="dxa" w:w="26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保单信息</w:t>
            </w:r>
          </w:p>
        </w:tc>
        <w:tc>
          <w:tcPr>
            <w:tcW w:type="dxa" w:w="47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系统调取即可,无需客户提供;确认承保险种与出险事故匹配。</w:t>
            </w:r>
          </w:p>
        </w:tc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系统核验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3.2 分险种专项材料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5626"/>
        <w:gridCol w:w="1700"/>
      </w:tblGrid>
      <w:tr>
        <w:trPr>
          <w:tblHeader/>
        </w:trPr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险种</w:t>
            </w:r>
          </w:p>
        </w:tc>
        <w:tc>
          <w:tcPr>
            <w:tcW w:type="dxa" w:w="56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专项材料及审核要求</w:t>
            </w:r>
          </w:p>
        </w:tc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时效要求</w:t>
            </w:r>
          </w:p>
        </w:tc>
      </w:tr>
      <w:tr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车险</w:t>
            </w:r>
          </w:p>
        </w:tc>
        <w:tc>
          <w:tcPr>
            <w:tcW w:type="dxa" w:w="56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事故认定书或交管平台记录、驾驶证行驶证、现场及定损照片、维修清单与发票;人伤另收诊断证明与费用票据。</w:t>
            </w:r>
          </w:p>
        </w:tc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报案后 10 日内</w:t>
            </w:r>
          </w:p>
        </w:tc>
      </w:tr>
      <w:tr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意外险</w:t>
            </w:r>
          </w:p>
        </w:tc>
        <w:tc>
          <w:tcPr>
            <w:tcW w:type="dxa" w:w="56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意外事故证明、门急诊病历、诊断证明、医疗费用发票原件及费用清单;伤残案件另收伤残鉴定书。</w:t>
            </w:r>
          </w:p>
        </w:tc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报案后 30 日内</w:t>
            </w:r>
          </w:p>
        </w:tc>
      </w:tr>
      <w:tr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住院医疗险</w:t>
            </w:r>
          </w:p>
        </w:tc>
        <w:tc>
          <w:tcPr>
            <w:tcW w:type="dxa" w:w="56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入出院记录、诊断证明、费用总清单、发票原件;社保结算的需社保分割单。</w:t>
            </w:r>
          </w:p>
        </w:tc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出院后 30 日内</w:t>
            </w:r>
          </w:p>
        </w:tc>
      </w:tr>
      <w:tr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家财险</w:t>
            </w:r>
          </w:p>
        </w:tc>
        <w:tc>
          <w:tcPr>
            <w:tcW w:type="dxa" w:w="56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财产损失清单、购置凭证或价值证明、现场照片;火灾需消防证明,盗抢需报警回执。</w:t>
            </w:r>
          </w:p>
        </w:tc>
        <w:tc>
          <w:tcPr>
            <w:tcW w:type="dxa" w:w="17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报案后 15 日内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5B6" w:sz="4"/>
              <w:left w:val="single" w:color="2E75B6" w:sz="12"/>
              <w:bottom w:val="single" w:color="2E75B6" w:sz="4"/>
              <w:right w:val="single" w:color="2E75B6" w:sz="4"/>
            </w:tcBorders>
            <w:shd w:fill="EAF1F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21"/>
                <w:szCs w:val="21"/>
              </w:rPr>
              <w:t xml:space="preserve">影像审核基线</w:t>
            </w:r>
          </w:p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所有影像件须满足:四角完整、文字可辨、无遮挡涂改;发票须可核验代码与号码;照片须含现场全景与损失特写各至少 1 张。不满足基线的一律按「待澄清」处理并注明原因。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4. 初审「五查」要点</w:t>
      </w:r>
    </w:p>
    <w:p>
      <w:pPr>
        <w:spacing w:after="12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「五查」是初审环节的核心审核动作,每一查均须在系统中留痕勾选,任何一查不通过即中止直通流程。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800"/>
        <w:gridCol w:w="3826"/>
      </w:tblGrid>
      <w:tr>
        <w:trPr>
          <w:tblHeader/>
        </w:trPr>
        <w:tc>
          <w:tcPr>
            <w:tcW w:type="dxa" w:w="14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查项</w:t>
            </w:r>
          </w:p>
        </w:tc>
        <w:tc>
          <w:tcPr>
            <w:tcW w:type="dxa" w:w="3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审核要点</w:t>
            </w:r>
          </w:p>
        </w:tc>
        <w:tc>
          <w:tcPr>
            <w:tcW w:type="dxa" w:w="38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常见不通过情形(示例)</w:t>
            </w:r>
          </w:p>
        </w:tc>
      </w:tr>
      <w:tr>
        <w:tc>
          <w:tcPr>
            <w:tcW w:type="dxa" w:w="14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sz w:val="20"/>
                <w:szCs w:val="20"/>
              </w:rPr>
              <w:t xml:space="preserve">一查保单</w:t>
            </w:r>
          </w:p>
        </w:tc>
        <w:tc>
          <w:tcPr>
            <w:tcW w:type="dxa" w:w="3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保单在保险期间内且保费已缴清;出险时保单效力正常,无中止、解除、失效情形;被保险人/标的与保单记载一致。</w:t>
            </w:r>
          </w:p>
        </w:tc>
        <w:tc>
          <w:tcPr>
            <w:tcW w:type="dxa" w:w="38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出险日在等待期内;保单因欠费处于效力中止期;出险车辆与承保车架号不符。</w:t>
            </w:r>
          </w:p>
        </w:tc>
      </w:tr>
      <w:tr>
        <w:tc>
          <w:tcPr>
            <w:tcW w:type="dxa" w:w="14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sz w:val="20"/>
                <w:szCs w:val="20"/>
              </w:rPr>
              <w:t xml:space="preserve">二查出险</w:t>
            </w:r>
          </w:p>
        </w:tc>
        <w:tc>
          <w:tcPr>
            <w:tcW w:type="dxa" w:w="3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报案时间、出险时间、出险地点三要素相互印证;出险经过描述与证明材料逻辑一致。</w:t>
            </w:r>
          </w:p>
        </w:tc>
        <w:tc>
          <w:tcPr>
            <w:tcW w:type="dxa" w:w="38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出险后超 48 小时报案且无合理说明;事故描述与现场照片矛盾。</w:t>
            </w:r>
          </w:p>
        </w:tc>
      </w:tr>
      <w:tr>
        <w:tc>
          <w:tcPr>
            <w:tcW w:type="dxa" w:w="14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sz w:val="20"/>
                <w:szCs w:val="20"/>
              </w:rPr>
              <w:t xml:space="preserve">三查责任</w:t>
            </w:r>
          </w:p>
        </w:tc>
        <w:tc>
          <w:tcPr>
            <w:tcW w:type="dxa" w:w="3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事故原因属于保险责任范围;逐条比对责任免除条款;涉第三方责任的确认责任比例划分依据。</w:t>
            </w:r>
          </w:p>
        </w:tc>
        <w:tc>
          <w:tcPr>
            <w:tcW w:type="dxa" w:w="38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事故原因属免责条款列明情形;无证驾驶、酒驾等法定免责;标的用途与投保用途不符。</w:t>
            </w:r>
          </w:p>
        </w:tc>
      </w:tr>
      <w:tr>
        <w:tc>
          <w:tcPr>
            <w:tcW w:type="dxa" w:w="14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sz w:val="20"/>
                <w:szCs w:val="20"/>
              </w:rPr>
              <w:t xml:space="preserve">四查金额</w:t>
            </w:r>
          </w:p>
        </w:tc>
        <w:tc>
          <w:tcPr>
            <w:tcW w:type="dxa" w:w="3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索赔金额不超过保额及分项限额;费用票据真实、金额勾稽一致;扣除免赔额、社保已报销部分后估算合理赔付区间。</w:t>
            </w:r>
          </w:p>
        </w:tc>
        <w:tc>
          <w:tcPr>
            <w:tcW w:type="dxa" w:w="38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索赔金额超保额;票据金额与费用清单不符;重复索赔同一笔费用。</w:t>
            </w:r>
          </w:p>
        </w:tc>
      </w:tr>
      <w:tr>
        <w:tc>
          <w:tcPr>
            <w:tcW w:type="dxa" w:w="14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sz w:val="20"/>
                <w:szCs w:val="20"/>
              </w:rPr>
              <w:t xml:space="preserve">五查风险</w:t>
            </w:r>
          </w:p>
        </w:tc>
        <w:tc>
          <w:tcPr>
            <w:tcW w:type="dxa" w:w="3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对照第 5 章红旗信号清单逐项筛查;核对历史出险记录与黑名单库;评估投保时间与出险时间间隔合理性。</w:t>
            </w:r>
          </w:p>
        </w:tc>
        <w:tc>
          <w:tcPr>
            <w:tcW w:type="dxa" w:w="38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投保后 30 日内出险;同一客户短期多次报案;票据存在 PS 或套打痕迹。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4.1 审核留痕要求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五查结果须逐项记录「通过/不通过/待核实」,不得整体一键通过;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「不通过」与「待核实」项必须填写具体事实描述与对应条款编号;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电话核实的应记录通话时间、对象与要点摘要,录音编号关联至案件。</w:t>
      </w:r>
    </w:p>
    <w:p>
      <w:r>
        <w:br w:type="page"/>
      </w:r>
    </w:p>
    <w:p>
      <w:pPr>
        <w:pStyle w:val="Heading1"/>
      </w:pPr>
      <w:r>
        <w:t xml:space="preserve">5. 风险信号与反欺诈筛查</w:t>
      </w:r>
    </w:p>
    <w:p>
      <w:pPr>
        <w:spacing w:after="12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红旗信号按风险程度分为三级。初审岗只做「识别与上报」,不做欺诈定性;任何命中高风险信号的案件严禁在初审环节直接通过。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4726"/>
        <w:gridCol w:w="2900"/>
      </w:tblGrid>
      <w:tr>
        <w:trPr>
          <w:tblHeader/>
        </w:trPr>
        <w:tc>
          <w:tcPr>
            <w:tcW w:type="dxa" w:w="14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风险等级</w:t>
            </w:r>
          </w:p>
        </w:tc>
        <w:tc>
          <w:tcPr>
            <w:tcW w:type="dxa" w:w="47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红旗信号(示例)</w:t>
            </w:r>
          </w:p>
        </w:tc>
        <w:tc>
          <w:tcPr>
            <w:tcW w:type="dxa" w:w="2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处置要求</w:t>
            </w:r>
          </w:p>
        </w:tc>
      </w:tr>
      <w:tr>
        <w:tc>
          <w:tcPr>
            <w:tcW w:type="dxa" w:w="14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C00000"/>
                <w:sz w:val="20"/>
                <w:szCs w:val="20"/>
              </w:rPr>
              <w:t xml:space="preserve">高风险</w:t>
            </w:r>
          </w:p>
        </w:tc>
        <w:tc>
          <w:tcPr>
            <w:tcW w:type="dxa" w:w="47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票据涂改或真伪存疑;出险经过前后陈述矛盾;命中行业黑名单或欺诈关联名单;投保后极短期(≤7日)出险且金额较大。</w:t>
            </w:r>
          </w:p>
        </w:tc>
        <w:tc>
          <w:tcPr>
            <w:tcW w:type="dxa" w:w="2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24 小时内上报调查岗立案,案件冻结赔付,同步反欺诈专岗。</w:t>
            </w:r>
          </w:p>
        </w:tc>
      </w:tr>
      <w:tr>
        <w:tc>
          <w:tcPr>
            <w:tcW w:type="dxa" w:w="14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BF8F00"/>
                <w:sz w:val="20"/>
                <w:szCs w:val="20"/>
              </w:rPr>
              <w:t xml:space="preserve">中风险</w:t>
            </w:r>
          </w:p>
        </w:tc>
        <w:tc>
          <w:tcPr>
            <w:tcW w:type="dxa" w:w="47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近 12 个月出险 ≥ 3 次;报案延迟超 72 小时无合理解释;就诊机构异常集中;索赔金额接近分项限额上限。</w:t>
            </w:r>
          </w:p>
        </w:tc>
        <w:tc>
          <w:tcPr>
            <w:tcW w:type="dxa" w:w="2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转人工调查核实,初审结论出具「转调查」,并列明核实项。</w:t>
            </w:r>
          </w:p>
        </w:tc>
      </w:tr>
      <w:tr>
        <w:tc>
          <w:tcPr>
            <w:tcW w:type="dxa" w:w="14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2E75B6"/>
                <w:sz w:val="20"/>
                <w:szCs w:val="20"/>
              </w:rPr>
              <w:t xml:space="preserve">低风险</w:t>
            </w:r>
          </w:p>
        </w:tc>
        <w:tc>
          <w:tcPr>
            <w:tcW w:type="dxa" w:w="47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材料补交超过 2 次;联系电话非本人;出险地点与常住地跨省。</w:t>
            </w:r>
          </w:p>
        </w:tc>
        <w:tc>
          <w:tcPr>
            <w:tcW w:type="dxa" w:w="2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初审岗电话核实并留痕,核实通过后可继续正常流程。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5.1 筛查纪律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红旗信号勾选记录随案归档,作为质检与追责依据;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对高风险案件,初审岗不得向客户透露风险筛查细节;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同一销售渠道 30 日内集中出现 3 件以上中高风险案件的,由运营管理岗发起渠道排查。</w:t>
      </w:r>
    </w:p>
    <w:p>
      <w:r>
        <w:br w:type="page"/>
      </w:r>
    </w:p>
    <w:p>
      <w:pPr>
        <w:pStyle w:val="Heading1"/>
      </w:pPr>
      <w:r>
        <w:t xml:space="preserve">6. 初审结论与时效标准</w:t>
      </w:r>
    </w:p>
    <w:p>
      <w:pPr>
        <w:pStyle w:val="Heading2"/>
      </w:pPr>
      <w:r>
        <w:t xml:space="preserve">6.1 五类初审结论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4326"/>
        <w:gridCol w:w="2800"/>
      </w:tblGrid>
      <w:tr>
        <w:trPr>
          <w:tblHeader/>
        </w:trPr>
        <w:tc>
          <w:tcPr>
            <w:tcW w:type="dxa" w:w="1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结论类型</w:t>
            </w:r>
          </w:p>
        </w:tc>
        <w:tc>
          <w:tcPr>
            <w:tcW w:type="dxa" w:w="43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适用条件</w:t>
            </w:r>
          </w:p>
        </w:tc>
        <w:tc>
          <w:tcPr>
            <w:tcW w:type="dxa" w:w="2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后续流转</w:t>
            </w:r>
          </w:p>
        </w:tc>
      </w:tr>
      <w:tr>
        <w:tc>
          <w:tcPr>
            <w:tcW w:type="dxa" w:w="1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初审通过</w:t>
            </w:r>
          </w:p>
        </w:tc>
        <w:tc>
          <w:tcPr>
            <w:tcW w:type="dxa" w:w="43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材料齐全、五查全部通过、无中高风险信号。</w:t>
            </w:r>
          </w:p>
        </w:tc>
        <w:tc>
          <w:tcPr>
            <w:tcW w:type="dxa" w:w="2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流转核赔理算环节</w:t>
            </w:r>
          </w:p>
        </w:tc>
      </w:tr>
      <w:tr>
        <w:tc>
          <w:tcPr>
            <w:tcW w:type="dxa" w:w="1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补件通知</w:t>
            </w:r>
          </w:p>
        </w:tc>
        <w:tc>
          <w:tcPr>
            <w:tcW w:type="dxa" w:w="43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责任基本明确但材料缺失或不清晰。</w:t>
            </w:r>
          </w:p>
        </w:tc>
        <w:tc>
          <w:tcPr>
            <w:tcW w:type="dxa" w:w="2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一次性告知,补齐后重启初审</w:t>
            </w:r>
          </w:p>
        </w:tc>
      </w:tr>
      <w:tr>
        <w:tc>
          <w:tcPr>
            <w:tcW w:type="dxa" w:w="1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转调查</w:t>
            </w:r>
          </w:p>
        </w:tc>
        <w:tc>
          <w:tcPr>
            <w:tcW w:type="dxa" w:w="43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命中中高风险信号,或事实、责任待核实。</w:t>
            </w:r>
          </w:p>
        </w:tc>
        <w:tc>
          <w:tcPr>
            <w:tcW w:type="dxa" w:w="2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移交调查岗,同步冻结直通</w:t>
            </w:r>
          </w:p>
        </w:tc>
      </w:tr>
      <w:tr>
        <w:tc>
          <w:tcPr>
            <w:tcW w:type="dxa" w:w="1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转协谈</w:t>
            </w:r>
          </w:p>
        </w:tc>
        <w:tc>
          <w:tcPr>
            <w:tcW w:type="dxa" w:w="43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责任成立但金额争议较大、涉人伤或诉讼可能。</w:t>
            </w:r>
          </w:p>
        </w:tc>
        <w:tc>
          <w:tcPr>
            <w:tcW w:type="dxa" w:w="2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移交协谈/法务岗</w:t>
            </w:r>
          </w:p>
        </w:tc>
      </w:tr>
      <w:tr>
        <w:tc>
          <w:tcPr>
            <w:tcW w:type="dxa" w:w="1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拒赔建议</w:t>
            </w:r>
          </w:p>
        </w:tc>
        <w:tc>
          <w:tcPr>
            <w:tcW w:type="dxa" w:w="43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明确不属于保险责任或属责任免除情形。</w:t>
            </w:r>
          </w:p>
        </w:tc>
        <w:tc>
          <w:tcPr>
            <w:tcW w:type="dxa" w:w="2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提交复核岗,双人复核后出函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6.2 时效标准(SLA,示例值)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426"/>
      </w:tblGrid>
      <w:tr>
        <w:trPr>
          <w:tblHeader/>
        </w:trPr>
        <w:tc>
          <w:tcPr>
            <w:tcW w:type="dxa" w:w="32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环节</w:t>
            </w:r>
          </w:p>
        </w:tc>
        <w:tc>
          <w:tcPr>
            <w:tcW w:type="dxa" w:w="24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时效标准</w:t>
            </w:r>
          </w:p>
        </w:tc>
        <w:tc>
          <w:tcPr>
            <w:tcW w:type="dxa" w:w="34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起算口径</w:t>
            </w:r>
          </w:p>
        </w:tc>
      </w:tr>
      <w:tr>
        <w:tc>
          <w:tcPr>
            <w:tcW w:type="dxa" w:w="32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案件接收确认</w:t>
            </w:r>
          </w:p>
        </w:tc>
        <w:tc>
          <w:tcPr>
            <w:tcW w:type="dxa" w:w="24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2 小时内</w:t>
            </w:r>
          </w:p>
        </w:tc>
        <w:tc>
          <w:tcPr>
            <w:tcW w:type="dxa" w:w="34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自系统派单时点起</w:t>
            </w:r>
          </w:p>
        </w:tc>
      </w:tr>
      <w:tr>
        <w:tc>
          <w:tcPr>
            <w:tcW w:type="dxa" w:w="32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直通案件初审完成</w:t>
            </w:r>
          </w:p>
        </w:tc>
        <w:tc>
          <w:tcPr>
            <w:tcW w:type="dxa" w:w="24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0.5 个工作日</w:t>
            </w:r>
          </w:p>
        </w:tc>
        <w:tc>
          <w:tcPr>
            <w:tcW w:type="dxa" w:w="34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自材料齐全时点起</w:t>
            </w:r>
          </w:p>
        </w:tc>
      </w:tr>
      <w:tr>
        <w:tc>
          <w:tcPr>
            <w:tcW w:type="dxa" w:w="32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普通案件初审完成</w:t>
            </w:r>
          </w:p>
        </w:tc>
        <w:tc>
          <w:tcPr>
            <w:tcW w:type="dxa" w:w="24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1 个工作日</w:t>
            </w:r>
          </w:p>
        </w:tc>
        <w:tc>
          <w:tcPr>
            <w:tcW w:type="dxa" w:w="34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自材料齐全时点起</w:t>
            </w:r>
          </w:p>
        </w:tc>
      </w:tr>
      <w:tr>
        <w:tc>
          <w:tcPr>
            <w:tcW w:type="dxa" w:w="32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复杂案件初审完成</w:t>
            </w:r>
          </w:p>
        </w:tc>
        <w:tc>
          <w:tcPr>
            <w:tcW w:type="dxa" w:w="24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3 个工作日</w:t>
            </w:r>
          </w:p>
        </w:tc>
        <w:tc>
          <w:tcPr>
            <w:tcW w:type="dxa" w:w="34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自材料齐全时点起,需登记复杂原因</w:t>
            </w:r>
          </w:p>
        </w:tc>
      </w:tr>
      <w:tr>
        <w:tc>
          <w:tcPr>
            <w:tcW w:type="dxa" w:w="32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补件通知发出</w:t>
            </w:r>
          </w:p>
        </w:tc>
        <w:tc>
          <w:tcPr>
            <w:tcW w:type="dxa" w:w="24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4 小时内</w:t>
            </w:r>
          </w:p>
        </w:tc>
        <w:tc>
          <w:tcPr>
            <w:tcW w:type="dxa" w:w="34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自发现缺件时点起</w:t>
            </w:r>
          </w:p>
        </w:tc>
      </w:tr>
      <w:tr>
        <w:tc>
          <w:tcPr>
            <w:tcW w:type="dxa" w:w="32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高风险上报</w:t>
            </w:r>
          </w:p>
        </w:tc>
        <w:tc>
          <w:tcPr>
            <w:tcW w:type="dxa" w:w="24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24 小时内</w:t>
            </w:r>
          </w:p>
        </w:tc>
        <w:tc>
          <w:tcPr>
            <w:tcW w:type="dxa" w:w="34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自命中高风险信号时点起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5B6" w:sz="4"/>
              <w:left w:val="single" w:color="2E75B6" w:sz="12"/>
              <w:bottom w:val="single" w:color="2E75B6" w:sz="4"/>
              <w:right w:val="single" w:color="2E75B6" w:sz="4"/>
            </w:tcBorders>
            <w:shd w:fill="EAF1F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21"/>
                <w:szCs w:val="21"/>
              </w:rPr>
              <w:t xml:space="preserve">时效红线</w:t>
            </w:r>
          </w:p>
          <w:p>
            <w:pPr>
              <w:spacing w:after="0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任何案件初审停留不得超过 3 个工作日;确需延期的,须由运营管理岗审批并向客户主动告知进展。补件等待期间时效挂起,补齐后时效重新起算。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7. 岗位职责与审批权限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4326"/>
        <w:gridCol w:w="2800"/>
      </w:tblGrid>
      <w:tr>
        <w:trPr>
          <w:tblHeader/>
        </w:trPr>
        <w:tc>
          <w:tcPr>
            <w:tcW w:type="dxa" w:w="1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岗位</w:t>
            </w:r>
          </w:p>
        </w:tc>
        <w:tc>
          <w:tcPr>
            <w:tcW w:type="dxa" w:w="43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核心职责</w:t>
            </w:r>
          </w:p>
        </w:tc>
        <w:tc>
          <w:tcPr>
            <w:tcW w:type="dxa" w:w="2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审批权限(示例)</w:t>
            </w:r>
          </w:p>
        </w:tc>
      </w:tr>
      <w:tr>
        <w:tc>
          <w:tcPr>
            <w:tcW w:type="dxa" w:w="1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初审岗</w:t>
            </w:r>
          </w:p>
        </w:tc>
        <w:tc>
          <w:tcPr>
            <w:tcW w:type="dxa" w:w="43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材料收审、五查审核、风险筛查、初审结论出具与系统录入。</w:t>
            </w:r>
          </w:p>
        </w:tc>
        <w:tc>
          <w:tcPr>
            <w:tcW w:type="dxa" w:w="2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单案估损 ≤ 2 万元</w:t>
            </w:r>
          </w:p>
        </w:tc>
      </w:tr>
      <w:tr>
        <w:tc>
          <w:tcPr>
            <w:tcW w:type="dxa" w:w="1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初审复核岗</w:t>
            </w:r>
          </w:p>
        </w:tc>
        <w:tc>
          <w:tcPr>
            <w:tcW w:type="dxa" w:w="43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复核超权限案件、拒赔建议与抽检案件;纠偏初审口径。</w:t>
            </w:r>
          </w:p>
        </w:tc>
        <w:tc>
          <w:tcPr>
            <w:tcW w:type="dxa" w:w="2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单案估损 ≤ 10 万元</w:t>
            </w:r>
          </w:p>
        </w:tc>
      </w:tr>
      <w:tr>
        <w:tc>
          <w:tcPr>
            <w:tcW w:type="dxa" w:w="19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运营管理岗</w:t>
            </w:r>
          </w:p>
        </w:tc>
        <w:tc>
          <w:tcPr>
            <w:tcW w:type="dxa" w:w="43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时效监控、质检抽查、规则维护、渠道风险排查发起。</w:t>
            </w:r>
          </w:p>
        </w:tc>
        <w:tc>
          <w:tcPr>
            <w:tcW w:type="dxa" w:w="28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延期审批、通道规则调整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8. 质检与考核指标</w:t>
      </w:r>
    </w:p>
    <w:p>
      <w:pPr>
        <w:spacing w:after="12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初审环节按月开展质检,抽检比例不低于结案量的 5%,拒赔建议案件 100% 复核。核心指标如下(目标值为示例):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rPr>
          <w:tblHeader/>
        </w:trPr>
        <w:tc>
          <w:tcPr>
            <w:tcW w:type="dxa" w:w="30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目标值</w:t>
            </w:r>
          </w:p>
        </w:tc>
        <w:tc>
          <w:tcPr>
            <w:tcW w:type="dxa" w:w="40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口径说明</w:t>
            </w:r>
          </w:p>
        </w:tc>
      </w:tr>
      <w:tr>
        <w:tc>
          <w:tcPr>
            <w:tcW w:type="dxa" w:w="30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初审时效达标率</w:t>
            </w:r>
          </w:p>
        </w:tc>
        <w:tc>
          <w:tcPr>
            <w:tcW w:type="dxa" w:w="20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≥ 95%</w:t>
            </w:r>
          </w:p>
        </w:tc>
        <w:tc>
          <w:tcPr>
            <w:tcW w:type="dxa" w:w="40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SLA 内完成初审的案件数 ÷ 初审案件总数</w:t>
            </w:r>
          </w:p>
        </w:tc>
      </w:tr>
      <w:tr>
        <w:tc>
          <w:tcPr>
            <w:tcW w:type="dxa" w:w="30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一次性补件率</w:t>
            </w:r>
          </w:p>
        </w:tc>
        <w:tc>
          <w:tcPr>
            <w:tcW w:type="dxa" w:w="20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≥ 90%</w:t>
            </w:r>
          </w:p>
        </w:tc>
        <w:tc>
          <w:tcPr>
            <w:tcW w:type="dxa" w:w="40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仅发出 1 次补件通知的补件案件 ÷ 补件案件总数</w:t>
            </w:r>
          </w:p>
        </w:tc>
      </w:tr>
      <w:tr>
        <w:tc>
          <w:tcPr>
            <w:tcW w:type="dxa" w:w="30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初审差错率</w:t>
            </w:r>
          </w:p>
        </w:tc>
        <w:tc>
          <w:tcPr>
            <w:tcW w:type="dxa" w:w="20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≤ 2%</w:t>
            </w:r>
          </w:p>
        </w:tc>
        <w:tc>
          <w:tcPr>
            <w:tcW w:type="dxa" w:w="40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质检发现结论或金额差错案件 ÷ 抽检案件总数</w:t>
            </w:r>
          </w:p>
        </w:tc>
      </w:tr>
      <w:tr>
        <w:tc>
          <w:tcPr>
            <w:tcW w:type="dxa" w:w="30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风险信号漏检率</w:t>
            </w:r>
          </w:p>
        </w:tc>
        <w:tc>
          <w:tcPr>
            <w:tcW w:type="dxa" w:w="20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≤ 1%</w:t>
            </w:r>
          </w:p>
        </w:tc>
        <w:tc>
          <w:tcPr>
            <w:tcW w:type="dxa" w:w="40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后端发现应筛未筛信号案件 ÷ 抽检案件总数</w:t>
            </w:r>
          </w:p>
        </w:tc>
      </w:tr>
      <w:tr>
        <w:tc>
          <w:tcPr>
            <w:tcW w:type="dxa" w:w="30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直通赔付占比</w:t>
            </w:r>
          </w:p>
        </w:tc>
        <w:tc>
          <w:tcPr>
            <w:tcW w:type="dxa" w:w="20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≥ 40%</w:t>
            </w:r>
          </w:p>
        </w:tc>
        <w:tc>
          <w:tcPr>
            <w:tcW w:type="dxa" w:w="40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直通通道结案数 ÷ 符合直通条件案件总数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附录 A:初审意见书模板(示例)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64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填写内容</w:t>
            </w:r>
          </w:p>
        </w:tc>
      </w:tr>
      <w:tr>
        <w:tc>
          <w:tcPr>
            <w:tcW w:type="dxa" w:w="26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案件编号</w:t>
            </w:r>
          </w:p>
        </w:tc>
        <w:tc>
          <w:tcPr>
            <w:tcW w:type="dxa" w:w="64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CLM-2026-XXXXXX(系统自动生成)</w:t>
            </w:r>
          </w:p>
        </w:tc>
      </w:tr>
      <w:tr>
        <w:tc>
          <w:tcPr>
            <w:tcW w:type="dxa" w:w="26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被保险人 / 险种</w:t>
            </w:r>
          </w:p>
        </w:tc>
        <w:tc>
          <w:tcPr>
            <w:tcW w:type="dxa" w:w="64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张某某(示例) / 住院医疗险</w:t>
            </w:r>
          </w:p>
        </w:tc>
      </w:tr>
      <w:tr>
        <w:tc>
          <w:tcPr>
            <w:tcW w:type="dxa" w:w="26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出险时间 / 报案时间</w:t>
            </w:r>
          </w:p>
        </w:tc>
        <w:tc>
          <w:tcPr>
            <w:tcW w:type="dxa" w:w="64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2026-08-10 / 2026-08-11</w:t>
            </w:r>
          </w:p>
        </w:tc>
      </w:tr>
      <w:tr>
        <w:tc>
          <w:tcPr>
            <w:tcW w:type="dxa" w:w="26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材料完整性</w:t>
            </w:r>
          </w:p>
        </w:tc>
        <w:tc>
          <w:tcPr>
            <w:tcW w:type="dxa" w:w="64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齐全 □   缺件 □(缺件清单:__________)   待澄清 □</w:t>
            </w:r>
          </w:p>
        </w:tc>
      </w:tr>
      <w:tr>
        <w:tc>
          <w:tcPr>
            <w:tcW w:type="dxa" w:w="26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五查结果</w:t>
            </w:r>
          </w:p>
        </w:tc>
        <w:tc>
          <w:tcPr>
            <w:tcW w:type="dxa" w:w="64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保单□通过 出险□通过 责任□通过 金额□通过 风险□通过(不通过项说明:__________)</w:t>
            </w:r>
          </w:p>
        </w:tc>
      </w:tr>
      <w:tr>
        <w:tc>
          <w:tcPr>
            <w:tcW w:type="dxa" w:w="26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风险信号</w:t>
            </w:r>
          </w:p>
        </w:tc>
        <w:tc>
          <w:tcPr>
            <w:tcW w:type="dxa" w:w="64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未命中 □   低风险 □   中风险 □   高风险 □(信号编号:______)</w:t>
            </w:r>
          </w:p>
        </w:tc>
      </w:tr>
      <w:tr>
        <w:tc>
          <w:tcPr>
            <w:tcW w:type="dxa" w:w="26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估算赔付区间</w:t>
            </w:r>
          </w:p>
        </w:tc>
        <w:tc>
          <w:tcPr>
            <w:tcW w:type="dxa" w:w="64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____ 元 至 ____ 元(扣免赔额 ____ 元、社保已报 ____ 元)</w:t>
            </w:r>
          </w:p>
        </w:tc>
      </w:tr>
      <w:tr>
        <w:tc>
          <w:tcPr>
            <w:tcW w:type="dxa" w:w="26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初审结论</w:t>
            </w:r>
          </w:p>
        </w:tc>
        <w:tc>
          <w:tcPr>
            <w:tcW w:type="dxa" w:w="64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通过 □  补件 □  转调查 □  转协谈 □  拒赔建议 □</w:t>
            </w:r>
          </w:p>
        </w:tc>
      </w:tr>
      <w:tr>
        <w:tc>
          <w:tcPr>
            <w:tcW w:type="dxa" w:w="26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依据条款</w:t>
            </w:r>
          </w:p>
        </w:tc>
        <w:tc>
          <w:tcPr>
            <w:tcW w:type="dxa" w:w="64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条款第 ____ 条(摘要:__________)</w:t>
            </w:r>
          </w:p>
        </w:tc>
      </w:tr>
      <w:tr>
        <w:tc>
          <w:tcPr>
            <w:tcW w:type="dxa" w:w="26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初审人 / 日期</w:t>
            </w:r>
          </w:p>
        </w:tc>
        <w:tc>
          <w:tcPr>
            <w:tcW w:type="dxa" w:w="64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__________ / 2026-__-__</w:t>
            </w:r>
          </w:p>
        </w:tc>
      </w:tr>
      <w:tr>
        <w:tc>
          <w:tcPr>
            <w:tcW w:type="dxa" w:w="2600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复核人 / 日期</w:t>
            </w:r>
          </w:p>
        </w:tc>
        <w:tc>
          <w:tcPr>
            <w:tcW w:type="dxa" w:w="6426"/>
            <w:tcBorders>
              <w:top w:val="single" w:color="B4C6E7" w:sz="1"/>
              <w:left w:val="single" w:color="B4C6E7" w:sz="1"/>
              <w:bottom w:val="single" w:color="B4C6E7" w:sz="1"/>
              <w:right w:val="single" w:color="B4C6E7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__________ / 2026-__-__(超权限或拒赔建议案件必填)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附录 B:示例数据声明</w:t>
      </w:r>
    </w:p>
    <w:p>
      <w:pPr>
        <w:spacing w:after="120" w:line="300"/>
      </w:pPr>
      <w:r>
        <w:rPr>
          <w:rFonts w:ascii="Microsoft YaHei" w:cs="Microsoft YaHei" w:eastAsia="Microsoft YaHei" w:hAnsi="Microsoft YaHei"/>
          <w:sz w:val="21"/>
          <w:szCs w:val="21"/>
        </w:rPr>
        <w:t xml:space="preserve">本手册及配套模板中的机构名称、人员姓名、案件编号、金额、阈值与指标目标值均为编制示例,不来源于任何真实客户数据或真实调研。正式启用前,应由理赔管理部门结合本机构条款、监管要求与内部权限表逐项校订,并履行制度发布审批流程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Microsoft YaHei" w:cs="Microsoft YaHei" w:eastAsia="Microsoft YaHei" w:hAnsi="Microsoft YaHei"/>
        <w:color w:val="808080"/>
        <w:sz w:val="18"/>
        <w:szCs w:val="18"/>
      </w:rPr>
      <w:t xml:space="preserve">示例文档 · 数据均为虚构    第 </w:t>
    </w:r>
    <w:r>
      <w:rPr>
        <w:rFonts w:ascii="Microsoft YaHei" w:cs="Microsoft YaHei" w:eastAsia="Microsoft YaHei" w:hAnsi="Microsoft YaHei"/>
        <w:color w:val="8080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Microsoft YaHei" w:cs="Microsoft YaHei" w:eastAsia="Microsoft YaHei" w:hAnsi="Microsoft YaHei"/>
        <w:color w:val="808080"/>
        <w:sz w:val="18"/>
        <w:szCs w:val="18"/>
      </w:rPr>
      <w:t xml:space="preserve"> 页,共 </w:t>
    </w:r>
    <w:r>
      <w:rPr>
        <w:rFonts w:ascii="Microsoft YaHei" w:cs="Microsoft YaHei" w:eastAsia="Microsoft YaHei" w:hAnsi="Microsoft YaHei"/>
        <w:color w:val="808080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>
      <w:rPr>
        <w:rFonts w:ascii="Microsoft YaHei" w:cs="Microsoft YaHei" w:eastAsia="Microsoft YaHei" w:hAnsi="Microsoft YaHei"/>
        <w:color w:val="808080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8"/>
        <w:szCs w:val="18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8"/>
        <w:szCs w:val="18"/>
      </w:rPr>
      <w:t xml:space="preserve">	保险理赔初审操作手册(示例)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E75B6" w:sz="6" w:space="4"/>
      </w:pBdr>
      <w:spacing w:after="200" w:before="240"/>
      <w:outlineLvl w:val="0"/>
    </w:pPr>
    <w:rPr>
      <w:rFonts w:ascii="Microsoft YaHei" w:cs="Microsoft YaHei" w:eastAsia="Microsoft YaHei" w:hAnsi="Microsoft YaHei"/>
      <w:b/>
      <w:bCs/>
      <w:color w:val="1F4E79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00"/>
      <w:outlineLvl w:val="1"/>
    </w:pPr>
    <w:rPr>
      <w:rFonts w:ascii="Microsoft YaHei" w:cs="Microsoft YaHei" w:eastAsia="Microsoft YaHei" w:hAnsi="Microsoft YaHei"/>
      <w:b/>
      <w:bCs/>
      <w:color w:val="2E75B6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rFonts w:ascii="Microsoft YaHei" w:cs="Microsoft YaHei" w:eastAsia="Microsoft YaHei" w:hAnsi="Microsoft YaHei"/>
      <w:b/>
      <w:bCs/>
      <w:color w:val="40404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2026-08-31T10:13:15.046Z</dcterms:created>
  <dcterms:modified xsi:type="dcterms:W3CDTF">2026-08-31T10:13:15.046Z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