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40"/>
        <w:jc w:val="center"/>
      </w:pPr>
      <w:r>
        <w:rPr>
          <w:rFonts w:ascii="Microsoft YaHei" w:cs="Microsoft YaHei" w:eastAsia="Microsoft YaHei" w:hAnsi="Microsoft YaHei"/>
          <w:b/>
          <w:bCs/>
          <w:color w:val="1F4E79"/>
          <w:sz w:val="36"/>
          <w:szCs w:val="36"/>
        </w:rPr>
        <w:t xml:space="preserve">示例保险股份有限公司</w:t>
      </w:r>
    </w:p>
    <w:p>
      <w:pPr>
        <w:spacing w:after="120"/>
        <w:jc w:val="center"/>
      </w:pPr>
      <w:r>
        <w:rPr>
          <w:rFonts w:ascii="Microsoft YaHei" w:cs="Microsoft YaHei" w:eastAsia="Microsoft YaHei" w:hAnsi="Microsoft YaHei"/>
          <w:b/>
          <w:bCs/>
          <w:sz w:val="52"/>
          <w:szCs w:val="52"/>
        </w:rPr>
        <w:t xml:space="preserve">2026 年上半年销售行为与信息披露</w:t>
      </w:r>
    </w:p>
    <w:p>
      <w:pPr>
        <w:spacing w:after="480"/>
        <w:jc w:val="center"/>
      </w:pPr>
      <w:r>
        <w:rPr>
          <w:rFonts w:ascii="Microsoft YaHei" w:cs="Microsoft YaHei" w:eastAsia="Microsoft YaHei" w:hAnsi="Microsoft YaHei"/>
          <w:b/>
          <w:bCs/>
          <w:sz w:val="52"/>
          <w:szCs w:val="52"/>
        </w:rPr>
        <w:t xml:space="preserve">合规审阅报告</w:t>
      </w:r>
    </w:p>
    <w:p>
      <w:pPr>
        <w:spacing w:after="120"/>
        <w:jc w:val="center"/>
      </w:pPr>
      <w:r>
        <w:rPr>
          <w:rFonts w:ascii="Microsoft YaHei" w:cs="Microsoft YaHei" w:eastAsia="Microsoft YaHei" w:hAnsi="Microsoft YaHei"/>
          <w:color w:val="C00000"/>
          <w:sz w:val="22"/>
          <w:szCs w:val="22"/>
        </w:rPr>
        <w:t xml:space="preserve">(示例文档 —— 全部数据均为虚构演示数据,不涉及任何真实客户或真实调研)</w:t>
      </w:r>
    </w:p>
    <w:p>
      <w:pPr>
        <w:spacing w:before="1600"/>
      </w:pPr>
    </w:p>
    <w:tbl>
      <w:tblPr>
        <w:tblW w:type="dxa" w:w="5000"/>
        <w:jc w:val="center"/>
        <w:tblBorders>
          <w:top w:val="single" w:color="auto" w:sz="4"/>
          <w:left w:val="single" w:color="auto" w:sz="4"/>
          <w:bottom w:val="single" w:color="auto" w:sz="4"/>
          <w:right w:val="single" w:color="auto" w:sz="4"/>
          <w:insideH w:val="single" w:color="auto" w:sz="4"/>
          <w:insideV w:val="single" w:color="auto" w:sz="4"/>
        </w:tblBorders>
      </w:tblPr>
      <w:tblGrid>
        <w:gridCol w:w="2000"/>
        <w:gridCol w:w="3000"/>
      </w:tblGrid>
      <w:tr>
        <w:tc>
          <w:tcPr>
            <w:tcW w:type="dxa" w:w="2000"/>
            <w:tcBorders>
              <w:top w:val="single" w:color="BFBFBF" w:sz="1"/>
              <w:left w:val="single" w:color="BFBFBF" w:sz="1"/>
              <w:bottom w:val="single" w:color="BFBFBF" w:sz="1"/>
              <w:right w:val="single" w:color="BFBFBF" w:sz="1"/>
            </w:tcBorders>
            <w:shd w:fill="D5E3F0" w:val="clear"/>
            <w:tcMar>
              <w:top w:type="dxa" w:w="80"/>
              <w:left w:type="dxa" w:w="120"/>
              <w:bottom w:type="dxa" w:w="80"/>
              <w:right w:type="dxa" w:w="120"/>
            </w:tcMar>
            <w:vAlign w:val="center"/>
          </w:tcPr>
          <w:p>
            <w:pPr>
              <w:jc w:val="center"/>
            </w:pPr>
            <w:r>
              <w:rPr>
                <w:rFonts w:ascii="Microsoft YaHei" w:cs="Microsoft YaHei" w:eastAsia="Microsoft YaHei" w:hAnsi="Microsoft YaHei"/>
                <w:b/>
                <w:bCs/>
                <w:sz w:val="22"/>
                <w:szCs w:val="22"/>
              </w:rPr>
              <w:t xml:space="preserve">报告编号</w:t>
            </w:r>
          </w:p>
        </w:tc>
        <w:tc>
          <w:tcPr>
            <w:tcW w:type="dxa" w:w="3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2"/>
                <w:szCs w:val="22"/>
              </w:rPr>
              <w:t xml:space="preserve">HGSY-2026-009(示例)</w:t>
            </w:r>
          </w:p>
        </w:tc>
      </w:tr>
      <w:tr>
        <w:tc>
          <w:tcPr>
            <w:tcW w:type="dxa" w:w="2000"/>
            <w:tcBorders>
              <w:top w:val="single" w:color="BFBFBF" w:sz="1"/>
              <w:left w:val="single" w:color="BFBFBF" w:sz="1"/>
              <w:bottom w:val="single" w:color="BFBFBF" w:sz="1"/>
              <w:right w:val="single" w:color="BFBFBF" w:sz="1"/>
            </w:tcBorders>
            <w:shd w:fill="D5E3F0" w:val="clear"/>
            <w:tcMar>
              <w:top w:type="dxa" w:w="80"/>
              <w:left w:type="dxa" w:w="120"/>
              <w:bottom w:type="dxa" w:w="80"/>
              <w:right w:type="dxa" w:w="120"/>
            </w:tcMar>
            <w:vAlign w:val="center"/>
          </w:tcPr>
          <w:p>
            <w:pPr>
              <w:jc w:val="center"/>
            </w:pPr>
            <w:r>
              <w:rPr>
                <w:rFonts w:ascii="Microsoft YaHei" w:cs="Microsoft YaHei" w:eastAsia="Microsoft YaHei" w:hAnsi="Microsoft YaHei"/>
                <w:b/>
                <w:bCs/>
                <w:sz w:val="22"/>
                <w:szCs w:val="22"/>
              </w:rPr>
              <w:t xml:space="preserve">审阅期间</w:t>
            </w:r>
          </w:p>
        </w:tc>
        <w:tc>
          <w:tcPr>
            <w:tcW w:type="dxa" w:w="3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2"/>
                <w:szCs w:val="22"/>
              </w:rPr>
              <w:t xml:space="preserve">2026年1月1日 – 2026年6月30日</w:t>
            </w:r>
          </w:p>
        </w:tc>
      </w:tr>
      <w:tr>
        <w:tc>
          <w:tcPr>
            <w:tcW w:type="dxa" w:w="2000"/>
            <w:tcBorders>
              <w:top w:val="single" w:color="BFBFBF" w:sz="1"/>
              <w:left w:val="single" w:color="BFBFBF" w:sz="1"/>
              <w:bottom w:val="single" w:color="BFBFBF" w:sz="1"/>
              <w:right w:val="single" w:color="BFBFBF" w:sz="1"/>
            </w:tcBorders>
            <w:shd w:fill="D5E3F0" w:val="clear"/>
            <w:tcMar>
              <w:top w:type="dxa" w:w="80"/>
              <w:left w:type="dxa" w:w="120"/>
              <w:bottom w:type="dxa" w:w="80"/>
              <w:right w:type="dxa" w:w="120"/>
            </w:tcMar>
            <w:vAlign w:val="center"/>
          </w:tcPr>
          <w:p>
            <w:pPr>
              <w:jc w:val="center"/>
            </w:pPr>
            <w:r>
              <w:rPr>
                <w:rFonts w:ascii="Microsoft YaHei" w:cs="Microsoft YaHei" w:eastAsia="Microsoft YaHei" w:hAnsi="Microsoft YaHei"/>
                <w:b/>
                <w:bCs/>
                <w:sz w:val="22"/>
                <w:szCs w:val="22"/>
              </w:rPr>
              <w:t xml:space="preserve">出具部门</w:t>
            </w:r>
          </w:p>
        </w:tc>
        <w:tc>
          <w:tcPr>
            <w:tcW w:type="dxa" w:w="3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2"/>
                <w:szCs w:val="22"/>
              </w:rPr>
              <w:t xml:space="preserve">合规与风险管理部</w:t>
            </w:r>
          </w:p>
        </w:tc>
      </w:tr>
      <w:tr>
        <w:tc>
          <w:tcPr>
            <w:tcW w:type="dxa" w:w="2000"/>
            <w:tcBorders>
              <w:top w:val="single" w:color="BFBFBF" w:sz="1"/>
              <w:left w:val="single" w:color="BFBFBF" w:sz="1"/>
              <w:bottom w:val="single" w:color="BFBFBF" w:sz="1"/>
              <w:right w:val="single" w:color="BFBFBF" w:sz="1"/>
            </w:tcBorders>
            <w:shd w:fill="D5E3F0" w:val="clear"/>
            <w:tcMar>
              <w:top w:type="dxa" w:w="80"/>
              <w:left w:type="dxa" w:w="120"/>
              <w:bottom w:type="dxa" w:w="80"/>
              <w:right w:type="dxa" w:w="120"/>
            </w:tcMar>
            <w:vAlign w:val="center"/>
          </w:tcPr>
          <w:p>
            <w:pPr>
              <w:jc w:val="center"/>
            </w:pPr>
            <w:r>
              <w:rPr>
                <w:rFonts w:ascii="Microsoft YaHei" w:cs="Microsoft YaHei" w:eastAsia="Microsoft YaHei" w:hAnsi="Microsoft YaHei"/>
                <w:b/>
                <w:bCs/>
                <w:sz w:val="22"/>
                <w:szCs w:val="22"/>
              </w:rPr>
              <w:t xml:space="preserve">出具日期</w:t>
            </w:r>
          </w:p>
        </w:tc>
        <w:tc>
          <w:tcPr>
            <w:tcW w:type="dxa" w:w="3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2"/>
                <w:szCs w:val="22"/>
              </w:rPr>
              <w:t xml:space="preserve">2026年8月31日</w:t>
            </w:r>
          </w:p>
        </w:tc>
      </w:tr>
      <w:tr>
        <w:tc>
          <w:tcPr>
            <w:tcW w:type="dxa" w:w="2000"/>
            <w:tcBorders>
              <w:top w:val="single" w:color="BFBFBF" w:sz="1"/>
              <w:left w:val="single" w:color="BFBFBF" w:sz="1"/>
              <w:bottom w:val="single" w:color="BFBFBF" w:sz="1"/>
              <w:right w:val="single" w:color="BFBFBF" w:sz="1"/>
            </w:tcBorders>
            <w:shd w:fill="D5E3F0" w:val="clear"/>
            <w:tcMar>
              <w:top w:type="dxa" w:w="80"/>
              <w:left w:type="dxa" w:w="120"/>
              <w:bottom w:type="dxa" w:w="80"/>
              <w:right w:type="dxa" w:w="120"/>
            </w:tcMar>
            <w:vAlign w:val="center"/>
          </w:tcPr>
          <w:p>
            <w:pPr>
              <w:jc w:val="center"/>
            </w:pPr>
            <w:r>
              <w:rPr>
                <w:rFonts w:ascii="Microsoft YaHei" w:cs="Microsoft YaHei" w:eastAsia="Microsoft YaHei" w:hAnsi="Microsoft YaHei"/>
                <w:b/>
                <w:bCs/>
                <w:sz w:val="22"/>
                <w:szCs w:val="22"/>
              </w:rPr>
              <w:t xml:space="preserve">密级</w:t>
            </w:r>
          </w:p>
        </w:tc>
        <w:tc>
          <w:tcPr>
            <w:tcW w:type="dxa" w:w="3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2"/>
                <w:szCs w:val="22"/>
              </w:rPr>
              <w:t xml:space="preserve">内部使用·机密</w:t>
            </w:r>
          </w:p>
        </w:tc>
      </w:tr>
    </w:tbl>
    <w:p>
      <w:r>
        <w:br w:type="page"/>
      </w:r>
    </w:p>
    <w:p>
      <w:pPr>
        <w:pStyle w:val="Heading1"/>
      </w:pPr>
      <w:r>
        <w:t xml:space="preserve">目录</w:t>
      </w:r>
    </w:p>
    <w:p>
      <w:pPr>
        <w:tabs>
          <w:tab w:val="right" w:pos="9026" w:leader="dot"/>
        </w:tabs>
        <w:spacing w:after="160" w:line="340"/>
      </w:pPr>
      <w:r>
        <w:rPr>
          <w:rFonts w:ascii="Microsoft YaHei" w:cs="Microsoft YaHei" w:eastAsia="Microsoft YaHei" w:hAnsi="Microsoft YaHei"/>
          <w:sz w:val="24"/>
          <w:szCs w:val="24"/>
        </w:rPr>
        <w:t xml:space="preserve">一、审阅概述</w:t>
      </w:r>
      <w:r>
        <w:rPr>
          <w:rFonts w:ascii="Microsoft YaHei" w:cs="Microsoft YaHei" w:eastAsia="Microsoft YaHei" w:hAnsi="Microsoft YaHei"/>
          <w:sz w:val="24"/>
          <w:szCs w:val="24"/>
        </w:rPr>
        <w:t xml:space="preserve">	3</w:t>
      </w:r>
    </w:p>
    <w:p>
      <w:pPr>
        <w:tabs>
          <w:tab w:val="right" w:pos="9026" w:leader="dot"/>
        </w:tabs>
        <w:spacing w:after="160" w:line="340"/>
      </w:pPr>
      <w:r>
        <w:rPr>
          <w:rFonts w:ascii="Microsoft YaHei" w:cs="Microsoft YaHei" w:eastAsia="Microsoft YaHei" w:hAnsi="Microsoft YaHei"/>
          <w:sz w:val="24"/>
          <w:szCs w:val="24"/>
        </w:rPr>
        <w:t xml:space="preserve">二、审阅依据</w:t>
      </w:r>
      <w:r>
        <w:rPr>
          <w:rFonts w:ascii="Microsoft YaHei" w:cs="Microsoft YaHei" w:eastAsia="Microsoft YaHei" w:hAnsi="Microsoft YaHei"/>
          <w:sz w:val="24"/>
          <w:szCs w:val="24"/>
        </w:rPr>
        <w:t xml:space="preserve">	3</w:t>
      </w:r>
    </w:p>
    <w:p>
      <w:pPr>
        <w:tabs>
          <w:tab w:val="right" w:pos="9026" w:leader="dot"/>
        </w:tabs>
        <w:spacing w:after="160" w:line="340"/>
      </w:pPr>
      <w:r>
        <w:rPr>
          <w:rFonts w:ascii="Microsoft YaHei" w:cs="Microsoft YaHei" w:eastAsia="Microsoft YaHei" w:hAnsi="Microsoft YaHei"/>
          <w:sz w:val="24"/>
          <w:szCs w:val="24"/>
        </w:rPr>
        <w:t xml:space="preserve">三、审阅方法与程序</w:t>
      </w:r>
      <w:r>
        <w:rPr>
          <w:rFonts w:ascii="Microsoft YaHei" w:cs="Microsoft YaHei" w:eastAsia="Microsoft YaHei" w:hAnsi="Microsoft YaHei"/>
          <w:sz w:val="24"/>
          <w:szCs w:val="24"/>
        </w:rPr>
        <w:t xml:space="preserve">	4</w:t>
      </w:r>
    </w:p>
    <w:p>
      <w:pPr>
        <w:tabs>
          <w:tab w:val="right" w:pos="9026" w:leader="dot"/>
        </w:tabs>
        <w:spacing w:after="160" w:line="340"/>
      </w:pPr>
      <w:r>
        <w:rPr>
          <w:rFonts w:ascii="Microsoft YaHei" w:cs="Microsoft YaHei" w:eastAsia="Microsoft YaHei" w:hAnsi="Microsoft YaHei"/>
          <w:sz w:val="24"/>
          <w:szCs w:val="24"/>
        </w:rPr>
        <w:t xml:space="preserve">四、总体结论与合规评级</w:t>
      </w:r>
      <w:r>
        <w:rPr>
          <w:rFonts w:ascii="Microsoft YaHei" w:cs="Microsoft YaHei" w:eastAsia="Microsoft YaHei" w:hAnsi="Microsoft YaHei"/>
          <w:sz w:val="24"/>
          <w:szCs w:val="24"/>
        </w:rPr>
        <w:t xml:space="preserve">	4</w:t>
      </w:r>
    </w:p>
    <w:p>
      <w:pPr>
        <w:tabs>
          <w:tab w:val="right" w:pos="9026" w:leader="dot"/>
        </w:tabs>
        <w:spacing w:after="160" w:line="340"/>
      </w:pPr>
      <w:r>
        <w:rPr>
          <w:rFonts w:ascii="Microsoft YaHei" w:cs="Microsoft YaHei" w:eastAsia="Microsoft YaHei" w:hAnsi="Microsoft YaHei"/>
          <w:sz w:val="24"/>
          <w:szCs w:val="24"/>
        </w:rPr>
        <w:t xml:space="preserve">五、主要发现与整改建议</w:t>
      </w:r>
      <w:r>
        <w:rPr>
          <w:rFonts w:ascii="Microsoft YaHei" w:cs="Microsoft YaHei" w:eastAsia="Microsoft YaHei" w:hAnsi="Microsoft YaHei"/>
          <w:sz w:val="24"/>
          <w:szCs w:val="24"/>
        </w:rPr>
        <w:t xml:space="preserve">	5</w:t>
      </w:r>
    </w:p>
    <w:p>
      <w:pPr>
        <w:tabs>
          <w:tab w:val="right" w:pos="9026" w:leader="dot"/>
        </w:tabs>
        <w:spacing w:after="160" w:line="340"/>
      </w:pPr>
      <w:r>
        <w:rPr>
          <w:rFonts w:ascii="Microsoft YaHei" w:cs="Microsoft YaHei" w:eastAsia="Microsoft YaHei" w:hAnsi="Microsoft YaHei"/>
          <w:sz w:val="24"/>
          <w:szCs w:val="24"/>
        </w:rPr>
        <w:t xml:space="preserve">六、整改跟踪与闭环机制</w:t>
      </w:r>
      <w:r>
        <w:rPr>
          <w:rFonts w:ascii="Microsoft YaHei" w:cs="Microsoft YaHei" w:eastAsia="Microsoft YaHei" w:hAnsi="Microsoft YaHei"/>
          <w:sz w:val="24"/>
          <w:szCs w:val="24"/>
        </w:rPr>
        <w:t xml:space="preserve">	5</w:t>
      </w:r>
    </w:p>
    <w:p>
      <w:pPr>
        <w:tabs>
          <w:tab w:val="right" w:pos="9026" w:leader="dot"/>
        </w:tabs>
        <w:spacing w:after="160" w:line="340"/>
      </w:pPr>
      <w:r>
        <w:rPr>
          <w:rFonts w:ascii="Microsoft YaHei" w:cs="Microsoft YaHei" w:eastAsia="Microsoft YaHei" w:hAnsi="Microsoft YaHei"/>
          <w:sz w:val="24"/>
          <w:szCs w:val="24"/>
        </w:rPr>
        <w:t xml:space="preserve">七、声明与使用限制</w:t>
      </w:r>
      <w:r>
        <w:rPr>
          <w:rFonts w:ascii="Microsoft YaHei" w:cs="Microsoft YaHei" w:eastAsia="Microsoft YaHei" w:hAnsi="Microsoft YaHei"/>
          <w:sz w:val="24"/>
          <w:szCs w:val="24"/>
        </w:rPr>
        <w:t xml:space="preserve">	6</w:t>
      </w:r>
    </w:p>
    <w:p>
      <w:pPr>
        <w:spacing w:before="240"/>
      </w:pPr>
      <w:r>
        <w:rPr>
          <w:rFonts w:ascii="Microsoft YaHei" w:cs="Microsoft YaHei" w:eastAsia="Microsoft YaHei" w:hAnsi="Microsoft YaHei"/>
          <w:color w:val="808080"/>
          <w:sz w:val="18"/>
          <w:szCs w:val="18"/>
        </w:rPr>
        <w:t xml:space="preserve">注:如对内容进行增删导致页码变化,请相应更新本目录。</w:t>
      </w:r>
    </w:p>
    <w:p>
      <w:r>
        <w:br w:type="page"/>
      </w:r>
    </w:p>
    <w:p>
      <w:pPr>
        <w:pStyle w:val="Heading1"/>
      </w:pPr>
      <w:r>
        <w:t xml:space="preserve">一、审阅概述</w:t>
      </w:r>
    </w:p>
    <w:p>
      <w:pPr>
        <w:pStyle w:val="Heading2"/>
      </w:pPr>
      <w:r>
        <w:t xml:space="preserve">1.1 审阅背景</w:t>
      </w:r>
    </w:p>
    <w:p>
      <w:pPr>
        <w:spacing w:after="120" w:line="320"/>
      </w:pPr>
      <w:r>
        <w:rPr>
          <w:rFonts w:ascii="Microsoft YaHei" w:cs="Microsoft YaHei" w:eastAsia="Microsoft YaHei" w:hAnsi="Microsoft YaHei"/>
          <w:sz w:val="22"/>
          <w:szCs w:val="22"/>
        </w:rPr>
        <w:t xml:space="preserve">根据《保险法》《保险销售行为管理办法》及公司年度合规审阅计划,合规与风险管理部对公司 2026 年上半年个人代理、银行保险及互联网渠道的销售行为与信息披露情况开展了专项合规审阅。本次审阅旨在识别销售全流程中的合规风险,评估内控措施的设计与执行有效性,并推动问题整改闭环。</w:t>
      </w:r>
    </w:p>
    <w:p>
      <w:pPr>
        <w:pStyle w:val="Heading2"/>
      </w:pPr>
      <w:r>
        <w:t xml:space="preserve">1.2 审阅目标</w:t>
      </w:r>
    </w:p>
    <w:p>
      <w:pPr>
        <w:pStyle w:val="ListParagraph"/>
        <w:numPr>
          <w:ilvl w:val="0"/>
          <w:numId w:val="2"/>
        </w:numPr>
        <w:spacing w:after="80" w:line="300"/>
      </w:pPr>
      <w:r>
        <w:rPr>
          <w:rFonts w:ascii="Microsoft YaHei" w:cs="Microsoft YaHei" w:eastAsia="Microsoft YaHei" w:hAnsi="Microsoft YaHei"/>
          <w:sz w:val="22"/>
          <w:szCs w:val="22"/>
        </w:rPr>
        <w:t xml:space="preserve">评估销售宣传材料、产品说明与信息披露是否符合监管要求;</w:t>
      </w:r>
    </w:p>
    <w:p>
      <w:pPr>
        <w:pStyle w:val="ListParagraph"/>
        <w:numPr>
          <w:ilvl w:val="0"/>
          <w:numId w:val="2"/>
        </w:numPr>
        <w:spacing w:after="80" w:line="300"/>
      </w:pPr>
      <w:r>
        <w:rPr>
          <w:rFonts w:ascii="Microsoft YaHei" w:cs="Microsoft YaHei" w:eastAsia="Microsoft YaHei" w:hAnsi="Microsoft YaHei"/>
          <w:sz w:val="22"/>
          <w:szCs w:val="22"/>
        </w:rPr>
        <w:t xml:space="preserve">检查销售适当性管理(客户需求分析、风险承受能力评估、双录)执行情况;</w:t>
      </w:r>
    </w:p>
    <w:p>
      <w:pPr>
        <w:pStyle w:val="ListParagraph"/>
        <w:numPr>
          <w:ilvl w:val="0"/>
          <w:numId w:val="2"/>
        </w:numPr>
        <w:spacing w:after="80" w:line="300"/>
      </w:pPr>
      <w:r>
        <w:rPr>
          <w:rFonts w:ascii="Microsoft YaHei" w:cs="Microsoft YaHei" w:eastAsia="Microsoft YaHei" w:hAnsi="Microsoft YaHei"/>
          <w:sz w:val="22"/>
          <w:szCs w:val="22"/>
        </w:rPr>
        <w:t xml:space="preserve">核查佣金费用、退保与投诉处理流程的合规性;</w:t>
      </w:r>
    </w:p>
    <w:p>
      <w:pPr>
        <w:pStyle w:val="ListParagraph"/>
        <w:numPr>
          <w:ilvl w:val="0"/>
          <w:numId w:val="2"/>
        </w:numPr>
        <w:spacing w:after="80" w:line="300"/>
      </w:pPr>
      <w:r>
        <w:rPr>
          <w:rFonts w:ascii="Microsoft YaHei" w:cs="Microsoft YaHei" w:eastAsia="Microsoft YaHei" w:hAnsi="Microsoft YaHei"/>
          <w:sz w:val="22"/>
          <w:szCs w:val="22"/>
        </w:rPr>
        <w:t xml:space="preserve">对上一期审阅发现问题的整改情况进行回头看;</w:t>
      </w:r>
    </w:p>
    <w:p>
      <w:pPr>
        <w:pStyle w:val="ListParagraph"/>
        <w:numPr>
          <w:ilvl w:val="0"/>
          <w:numId w:val="2"/>
        </w:numPr>
        <w:spacing w:after="80" w:line="300"/>
      </w:pPr>
      <w:r>
        <w:rPr>
          <w:rFonts w:ascii="Microsoft YaHei" w:cs="Microsoft YaHei" w:eastAsia="Microsoft YaHei" w:hAnsi="Microsoft YaHei"/>
          <w:sz w:val="22"/>
          <w:szCs w:val="22"/>
        </w:rPr>
        <w:t xml:space="preserve">形成问题清单与整改建议,纳入合规问题台账跟踪管理。</w:t>
      </w:r>
    </w:p>
    <w:p>
      <w:pPr>
        <w:pStyle w:val="Heading2"/>
      </w:pPr>
      <w:r>
        <w:t xml:space="preserve">1.3 审阅范围与期间</w:t>
      </w:r>
    </w:p>
    <w:p>
      <w:pPr>
        <w:spacing w:after="120" w:line="320"/>
      </w:pPr>
      <w:r>
        <w:rPr>
          <w:rFonts w:ascii="Microsoft YaHei" w:cs="Microsoft YaHei" w:eastAsia="Microsoft YaHei" w:hAnsi="Microsoft YaHei"/>
          <w:sz w:val="22"/>
          <w:szCs w:val="22"/>
        </w:rPr>
        <w:t xml:space="preserve">审阅范围覆盖总公司银保部、个险部、互联网业务部及 4 家示例分公司(华东、华南、华北、西南),涉及在售人身险产品 12 款。审阅期间为 2026 年 1 月 1 日至 2026 年 6 月 30 日。以下机构与数据均为虚构示例。</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400"/>
        <w:gridCol w:w="2200"/>
        <w:gridCol w:w="2226"/>
      </w:tblGrid>
      <w:tr>
        <w:trPr>
          <w:tblHeader/>
        </w:trPr>
        <w:tc>
          <w:tcPr>
            <w:tcW w:type="dxa" w:w="22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受检单位(示例)</w:t>
            </w:r>
          </w:p>
        </w:tc>
        <w:tc>
          <w:tcPr>
            <w:tcW w:type="dxa" w:w="24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审阅渠道</w:t>
            </w:r>
          </w:p>
        </w:tc>
        <w:tc>
          <w:tcPr>
            <w:tcW w:type="dxa" w:w="22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抽样保单件数</w:t>
            </w:r>
          </w:p>
        </w:tc>
        <w:tc>
          <w:tcPr>
            <w:tcW w:type="dxa" w:w="2226"/>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抽样金额(万元)</w:t>
            </w:r>
          </w:p>
        </w:tc>
      </w:tr>
      <w:tr>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总公司银保部</w:t>
            </w:r>
          </w:p>
        </w:tc>
        <w:tc>
          <w:tcPr>
            <w:tcW w:type="dxa" w:w="24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银行保险</w:t>
            </w:r>
          </w:p>
        </w:tc>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120</w:t>
            </w:r>
          </w:p>
        </w:tc>
        <w:tc>
          <w:tcPr>
            <w:tcW w:type="dxa" w:w="22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3,600</w:t>
            </w:r>
          </w:p>
        </w:tc>
      </w:tr>
      <w:tr>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总公司个险部</w:t>
            </w:r>
          </w:p>
        </w:tc>
        <w:tc>
          <w:tcPr>
            <w:tcW w:type="dxa" w:w="24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个人代理</w:t>
            </w:r>
          </w:p>
        </w:tc>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150</w:t>
            </w:r>
          </w:p>
        </w:tc>
        <w:tc>
          <w:tcPr>
            <w:tcW w:type="dxa" w:w="22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2,250</w:t>
            </w:r>
          </w:p>
        </w:tc>
      </w:tr>
      <w:tr>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互联网业务部</w:t>
            </w:r>
          </w:p>
        </w:tc>
        <w:tc>
          <w:tcPr>
            <w:tcW w:type="dxa" w:w="24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互联网直销</w:t>
            </w:r>
          </w:p>
        </w:tc>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200</w:t>
            </w:r>
          </w:p>
        </w:tc>
        <w:tc>
          <w:tcPr>
            <w:tcW w:type="dxa" w:w="22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980</w:t>
            </w:r>
          </w:p>
        </w:tc>
      </w:tr>
      <w:tr>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华东分公司</w:t>
            </w:r>
          </w:p>
        </w:tc>
        <w:tc>
          <w:tcPr>
            <w:tcW w:type="dxa" w:w="24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个险/银保</w:t>
            </w:r>
          </w:p>
        </w:tc>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90</w:t>
            </w:r>
          </w:p>
        </w:tc>
        <w:tc>
          <w:tcPr>
            <w:tcW w:type="dxa" w:w="22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1,780</w:t>
            </w:r>
          </w:p>
        </w:tc>
      </w:tr>
      <w:tr>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华南分公司</w:t>
            </w:r>
          </w:p>
        </w:tc>
        <w:tc>
          <w:tcPr>
            <w:tcW w:type="dxa" w:w="24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个险/银保</w:t>
            </w:r>
          </w:p>
        </w:tc>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80</w:t>
            </w:r>
          </w:p>
        </w:tc>
        <w:tc>
          <w:tcPr>
            <w:tcW w:type="dxa" w:w="22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1,520</w:t>
            </w:r>
          </w:p>
        </w:tc>
      </w:tr>
      <w:tr>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合计</w:t>
            </w:r>
          </w:p>
        </w:tc>
        <w:tc>
          <w:tcPr>
            <w:tcW w:type="dxa" w:w="24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w:t>
            </w:r>
          </w:p>
        </w:tc>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640</w:t>
            </w:r>
          </w:p>
        </w:tc>
        <w:tc>
          <w:tcPr>
            <w:tcW w:type="dxa" w:w="22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10,130</w:t>
            </w:r>
          </w:p>
        </w:tc>
      </w:tr>
    </w:tbl>
    <w:p>
      <w:pPr>
        <w:spacing w:after="120" w:line="320"/>
      </w:pPr>
      <w:r>
        <w:rPr>
          <w:rFonts w:ascii="Microsoft YaHei" w:cs="Microsoft YaHei" w:eastAsia="Microsoft YaHei" w:hAnsi="Microsoft YaHei"/>
          <w:sz w:val="22"/>
          <w:szCs w:val="22"/>
        </w:rPr>
        <w:t xml:space="preserve"/>
      </w:r>
    </w:p>
    <w:p>
      <w:pPr>
        <w:pStyle w:val="Heading1"/>
      </w:pPr>
      <w:r>
        <w:t xml:space="preserve">二、审阅依据</w:t>
      </w:r>
    </w:p>
    <w:p>
      <w:pPr>
        <w:spacing w:after="120" w:line="320"/>
      </w:pPr>
      <w:r>
        <w:rPr>
          <w:rFonts w:ascii="Microsoft YaHei" w:cs="Microsoft YaHei" w:eastAsia="Microsoft YaHei" w:hAnsi="Microsoft YaHei"/>
          <w:sz w:val="22"/>
          <w:szCs w:val="22"/>
        </w:rPr>
        <w:t xml:space="preserve">本次审阅主要依据下列法律法规、监管规定及公司内部制度(节选,示例):</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4600"/>
        <w:gridCol w:w="3426"/>
      </w:tblGrid>
      <w:tr>
        <w:trPr>
          <w:tblHeader/>
        </w:trPr>
        <w:tc>
          <w:tcPr>
            <w:tcW w:type="dxa" w:w="10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序号</w:t>
            </w:r>
          </w:p>
        </w:tc>
        <w:tc>
          <w:tcPr>
            <w:tcW w:type="dxa" w:w="46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依据名称</w:t>
            </w:r>
          </w:p>
        </w:tc>
        <w:tc>
          <w:tcPr>
            <w:tcW w:type="dxa" w:w="3426"/>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类别 / 要点</w:t>
            </w:r>
          </w:p>
        </w:tc>
      </w:tr>
      <w:tr>
        <w:tc>
          <w:tcPr>
            <w:tcW w:type="dxa" w:w="1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1</w:t>
            </w:r>
          </w:p>
        </w:tc>
        <w:tc>
          <w:tcPr>
            <w:tcW w:type="dxa" w:w="46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《中华人民共和国保险法》</w:t>
            </w:r>
          </w:p>
        </w:tc>
        <w:tc>
          <w:tcPr>
            <w:tcW w:type="dxa" w:w="34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法律 / 销售行为、如实告知基本要求</w:t>
            </w:r>
          </w:p>
        </w:tc>
      </w:tr>
      <w:tr>
        <w:tc>
          <w:tcPr>
            <w:tcW w:type="dxa" w:w="10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2</w:t>
            </w:r>
          </w:p>
        </w:tc>
        <w:tc>
          <w:tcPr>
            <w:tcW w:type="dxa" w:w="46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《保险销售行为管理办法》</w:t>
            </w:r>
          </w:p>
        </w:tc>
        <w:tc>
          <w:tcPr>
            <w:tcW w:type="dxa" w:w="34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部门规章 / 售前·售中·售后全流程管理</w:t>
            </w:r>
          </w:p>
        </w:tc>
      </w:tr>
      <w:tr>
        <w:tc>
          <w:tcPr>
            <w:tcW w:type="dxa" w:w="1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3</w:t>
            </w:r>
          </w:p>
        </w:tc>
        <w:tc>
          <w:tcPr>
            <w:tcW w:type="dxa" w:w="46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《人身保险销售误导行为认定指引》</w:t>
            </w:r>
          </w:p>
        </w:tc>
        <w:tc>
          <w:tcPr>
            <w:tcW w:type="dxa" w:w="34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监管规范 / 销售误导情形认定</w:t>
            </w:r>
          </w:p>
        </w:tc>
      </w:tr>
      <w:tr>
        <w:tc>
          <w:tcPr>
            <w:tcW w:type="dxa" w:w="10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4</w:t>
            </w:r>
          </w:p>
        </w:tc>
        <w:tc>
          <w:tcPr>
            <w:tcW w:type="dxa" w:w="46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《保险销售行为可回溯管理暂行办法》</w:t>
            </w:r>
          </w:p>
        </w:tc>
        <w:tc>
          <w:tcPr>
            <w:tcW w:type="dxa" w:w="34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监管规范 / 双录范围与质检要求</w:t>
            </w:r>
          </w:p>
        </w:tc>
      </w:tr>
      <w:tr>
        <w:tc>
          <w:tcPr>
            <w:tcW w:type="dxa" w:w="1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5</w:t>
            </w:r>
          </w:p>
        </w:tc>
        <w:tc>
          <w:tcPr>
            <w:tcW w:type="dxa" w:w="46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《人身保险产品信息披露管理办法》</w:t>
            </w:r>
          </w:p>
        </w:tc>
        <w:tc>
          <w:tcPr>
            <w:tcW w:type="dxa" w:w="34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部门规章 / 产品说明与利益演示</w:t>
            </w:r>
          </w:p>
        </w:tc>
      </w:tr>
      <w:tr>
        <w:tc>
          <w:tcPr>
            <w:tcW w:type="dxa" w:w="10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6</w:t>
            </w:r>
          </w:p>
        </w:tc>
        <w:tc>
          <w:tcPr>
            <w:tcW w:type="dxa" w:w="46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《银行保险机构消费者权益保护管理办法》</w:t>
            </w:r>
          </w:p>
        </w:tc>
        <w:tc>
          <w:tcPr>
            <w:tcW w:type="dxa" w:w="34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部门规章 / 适当性与投诉处理</w:t>
            </w:r>
          </w:p>
        </w:tc>
      </w:tr>
      <w:tr>
        <w:tc>
          <w:tcPr>
            <w:tcW w:type="dxa" w:w="10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7</w:t>
            </w:r>
          </w:p>
        </w:tc>
        <w:tc>
          <w:tcPr>
            <w:tcW w:type="dxa" w:w="46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公司《销售品质管理办法(2025 修订)》</w:t>
            </w:r>
          </w:p>
        </w:tc>
        <w:tc>
          <w:tcPr>
            <w:tcW w:type="dxa" w:w="34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内部制度 / 品质考核与惩戒</w:t>
            </w:r>
          </w:p>
        </w:tc>
      </w:tr>
      <w:tr>
        <w:tc>
          <w:tcPr>
            <w:tcW w:type="dxa" w:w="10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8</w:t>
            </w:r>
          </w:p>
        </w:tc>
        <w:tc>
          <w:tcPr>
            <w:tcW w:type="dxa" w:w="46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公司《合规问题整改管理规程》</w:t>
            </w:r>
          </w:p>
        </w:tc>
        <w:tc>
          <w:tcPr>
            <w:tcW w:type="dxa" w:w="34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内部制度 / 整改闭环与销号标准</w:t>
            </w:r>
          </w:p>
        </w:tc>
      </w:tr>
    </w:tbl>
    <w:p>
      <w:pPr>
        <w:spacing w:after="120" w:line="320"/>
      </w:pPr>
      <w:r>
        <w:rPr>
          <w:rFonts w:ascii="Microsoft YaHei" w:cs="Microsoft YaHei" w:eastAsia="Microsoft YaHei" w:hAnsi="Microsoft YaHei"/>
          <w:sz w:val="22"/>
          <w:szCs w:val="22"/>
        </w:rPr>
        <w:t xml:space="preserve"/>
      </w:r>
    </w:p>
    <w:p>
      <w:pPr>
        <w:pStyle w:val="Heading1"/>
      </w:pPr>
      <w:r>
        <w:t xml:space="preserve">三、审阅方法与程序</w:t>
      </w:r>
    </w:p>
    <w:p>
      <w:pPr>
        <w:spacing w:after="120" w:line="320"/>
      </w:pPr>
      <w:r>
        <w:rPr>
          <w:rFonts w:ascii="Microsoft YaHei" w:cs="Microsoft YaHei" w:eastAsia="Microsoft YaHei" w:hAnsi="Microsoft YaHei"/>
          <w:sz w:val="22"/>
          <w:szCs w:val="22"/>
        </w:rPr>
        <w:t xml:space="preserve">本次审阅综合运用制度审阅、抽样检查、数据分析、人员访谈与现场观察等方法,主要程序包括:</w:t>
      </w:r>
    </w:p>
    <w:p>
      <w:pPr>
        <w:pStyle w:val="ListParagraph"/>
        <w:numPr>
          <w:ilvl w:val="0"/>
          <w:numId w:val="3"/>
        </w:numPr>
        <w:spacing w:after="80" w:line="300"/>
      </w:pPr>
      <w:r>
        <w:rPr>
          <w:rFonts w:ascii="Microsoft YaHei" w:cs="Microsoft YaHei" w:eastAsia="Microsoft YaHei" w:hAnsi="Microsoft YaHei"/>
          <w:sz w:val="22"/>
          <w:szCs w:val="22"/>
        </w:rPr>
        <w:t xml:space="preserve">制度梳理:对照监管新规逐条映射公司制度,识别制度空白与滞后条款;</w:t>
      </w:r>
    </w:p>
    <w:p>
      <w:pPr>
        <w:pStyle w:val="ListParagraph"/>
        <w:numPr>
          <w:ilvl w:val="0"/>
          <w:numId w:val="3"/>
        </w:numPr>
        <w:spacing w:after="80" w:line="300"/>
      </w:pPr>
      <w:r>
        <w:rPr>
          <w:rFonts w:ascii="Microsoft YaHei" w:cs="Microsoft YaHei" w:eastAsia="Microsoft YaHei" w:hAnsi="Microsoft YaHei"/>
          <w:sz w:val="22"/>
          <w:szCs w:val="22"/>
        </w:rPr>
        <w:t xml:space="preserve">保单抽样:按渠道、缴费方式、保费规模分层随机抽取 640 件保单,复核投保流程要件;</w:t>
      </w:r>
    </w:p>
    <w:p>
      <w:pPr>
        <w:pStyle w:val="ListParagraph"/>
        <w:numPr>
          <w:ilvl w:val="0"/>
          <w:numId w:val="3"/>
        </w:numPr>
        <w:spacing w:after="80" w:line="300"/>
      </w:pPr>
      <w:r>
        <w:rPr>
          <w:rFonts w:ascii="Microsoft YaHei" w:cs="Microsoft YaHei" w:eastAsia="Microsoft YaHei" w:hAnsi="Microsoft YaHei"/>
          <w:sz w:val="22"/>
          <w:szCs w:val="22"/>
        </w:rPr>
        <w:t xml:space="preserve">双录质检:调取 320 段双录影像进行复检,核对话术、风险提示与签名环节;</w:t>
      </w:r>
    </w:p>
    <w:p>
      <w:pPr>
        <w:pStyle w:val="ListParagraph"/>
        <w:numPr>
          <w:ilvl w:val="0"/>
          <w:numId w:val="3"/>
        </w:numPr>
        <w:spacing w:after="80" w:line="300"/>
      </w:pPr>
      <w:r>
        <w:rPr>
          <w:rFonts w:ascii="Microsoft YaHei" w:cs="Microsoft YaHei" w:eastAsia="Microsoft YaHei" w:hAnsi="Microsoft YaHei"/>
          <w:sz w:val="22"/>
          <w:szCs w:val="22"/>
        </w:rPr>
        <w:t xml:space="preserve">数据分析:对退保率、继续率、投诉率等指标开展异常值筛查与趋势分析;</w:t>
      </w:r>
    </w:p>
    <w:p>
      <w:pPr>
        <w:pStyle w:val="ListParagraph"/>
        <w:numPr>
          <w:ilvl w:val="0"/>
          <w:numId w:val="3"/>
        </w:numPr>
        <w:spacing w:after="80" w:line="300"/>
      </w:pPr>
      <w:r>
        <w:rPr>
          <w:rFonts w:ascii="Microsoft YaHei" w:cs="Microsoft YaHei" w:eastAsia="Microsoft YaHei" w:hAnsi="Microsoft YaHei"/>
          <w:sz w:val="22"/>
          <w:szCs w:val="22"/>
        </w:rPr>
        <w:t xml:space="preserve">访谈测试:访谈销售管理、核保、客服等岗位人员 18 人次,穿行测试关键控制点 9 项。</w:t>
      </w:r>
    </w:p>
    <w:p>
      <w:pPr>
        <w:spacing w:after="120" w:line="320"/>
      </w:pPr>
      <w:r>
        <w:rPr>
          <w:rFonts w:ascii="Microsoft YaHei" w:cs="Microsoft YaHei" w:eastAsia="Microsoft YaHei" w:hAnsi="Microsoft YaHei"/>
          <w:sz w:val="22"/>
          <w:szCs w:val="22"/>
        </w:rPr>
        <w:t xml:space="preserve">抽样及测试口径详见配套文件《009-industry-金融-保险-合规审阅-配套模板.xlsx》,该工作底稿模板可直接用于日常合规审阅项目的计划、问题登记与整改跟踪。</w:t>
      </w:r>
    </w:p>
    <w:p>
      <w:pPr>
        <w:pStyle w:val="Heading1"/>
      </w:pPr>
      <w:r>
        <w:t xml:space="preserve">四、总体结论与合规评级</w:t>
      </w:r>
    </w:p>
    <w:p>
      <w:pPr>
        <w:spacing w:after="120" w:line="320"/>
      </w:pPr>
      <w:r>
        <w:rPr>
          <w:rFonts w:ascii="Microsoft YaHei" w:cs="Microsoft YaHei" w:eastAsia="Microsoft YaHei" w:hAnsi="Microsoft YaHei"/>
          <w:sz w:val="22"/>
          <w:szCs w:val="22"/>
        </w:rPr>
        <w:t xml:space="preserve">综合各项审阅程序的结果,公司销售行为合规管理体系总体健全,关键控制在多数环节得到执行,但在互联网渠道信息披露、双录质检覆盖率及分支机构宣传材料管理方面存在需要整改的缺陷。本次审阅共发现问题 14 项,其中高风险 2 项、中风险 5 项、低风险 7 项;上期 8 项遗留问题中 6 项已完成整改销号,2 项逾期未完成。</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4426"/>
      </w:tblGrid>
      <w:tr>
        <w:trPr>
          <w:tblHeader/>
        </w:trPr>
        <w:tc>
          <w:tcPr>
            <w:tcW w:type="dxa" w:w="24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评级维度</w:t>
            </w:r>
          </w:p>
        </w:tc>
        <w:tc>
          <w:tcPr>
            <w:tcW w:type="dxa" w:w="22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评级结果(示例)</w:t>
            </w:r>
          </w:p>
        </w:tc>
        <w:tc>
          <w:tcPr>
            <w:tcW w:type="dxa" w:w="4426"/>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说明</w:t>
            </w:r>
          </w:p>
        </w:tc>
      </w:tr>
      <w:tr>
        <w:tc>
          <w:tcPr>
            <w:tcW w:type="dxa" w:w="24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制度健全性</w:t>
            </w:r>
          </w:p>
        </w:tc>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良好</w:t>
            </w:r>
          </w:p>
        </w:tc>
        <w:tc>
          <w:tcPr>
            <w:tcW w:type="dxa" w:w="44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制度体系基本覆盖监管要求,2 项制度待按新规修订</w:t>
            </w:r>
          </w:p>
        </w:tc>
      </w:tr>
      <w:tr>
        <w:tc>
          <w:tcPr>
            <w:tcW w:type="dxa" w:w="24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执行有效性</w:t>
            </w:r>
          </w:p>
        </w:tc>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关注</w:t>
            </w:r>
          </w:p>
        </w:tc>
        <w:tc>
          <w:tcPr>
            <w:tcW w:type="dxa" w:w="44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双录质检覆盖率 78%,低于制度要求的 90%</w:t>
            </w:r>
          </w:p>
        </w:tc>
      </w:tr>
      <w:tr>
        <w:tc>
          <w:tcPr>
            <w:tcW w:type="dxa" w:w="24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整改及时性</w:t>
            </w:r>
          </w:p>
        </w:tc>
        <w:tc>
          <w:tcPr>
            <w:tcW w:type="dxa" w:w="2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关注</w:t>
            </w:r>
          </w:p>
        </w:tc>
        <w:tc>
          <w:tcPr>
            <w:tcW w:type="dxa" w:w="44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上期 2 项问题逾期,已升级至分管高管督办</w:t>
            </w:r>
          </w:p>
        </w:tc>
      </w:tr>
      <w:tr>
        <w:tc>
          <w:tcPr>
            <w:tcW w:type="dxa" w:w="24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总体评级</w:t>
            </w:r>
          </w:p>
        </w:tc>
        <w:tc>
          <w:tcPr>
            <w:tcW w:type="dxa" w:w="2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基本合规(B)</w:t>
            </w:r>
          </w:p>
        </w:tc>
        <w:tc>
          <w:tcPr>
            <w:tcW w:type="dxa" w:w="44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需在 90 日内完成高、中风险问题整改</w:t>
            </w:r>
          </w:p>
        </w:tc>
      </w:tr>
    </w:tbl>
    <w:p>
      <w:pPr>
        <w:spacing w:after="120" w:line="320"/>
      </w:pPr>
      <w:r>
        <w:rPr>
          <w:rFonts w:ascii="Microsoft YaHei" w:cs="Microsoft YaHei" w:eastAsia="Microsoft YaHei" w:hAnsi="Microsoft YaHei"/>
          <w:sz w:val="22"/>
          <w:szCs w:val="22"/>
        </w:rPr>
        <w:t xml:space="preserve"/>
      </w:r>
    </w:p>
    <w:p>
      <w:pPr>
        <w:spacing w:after="120" w:line="320"/>
      </w:pPr>
      <w:r>
        <w:rPr>
          <w:rFonts w:ascii="Microsoft YaHei" w:cs="Microsoft YaHei" w:eastAsia="Microsoft YaHei" w:hAnsi="Microsoft YaHei"/>
          <w:color w:val="595959"/>
          <w:sz w:val="20"/>
          <w:szCs w:val="20"/>
        </w:rPr>
        <w:t xml:space="preserve">严重程度分级标准:高风险指可能引发监管处罚、重大客户投诉或重大声誉损失的事项;中风险指控制缺陷明确但影响范围可控的事项;低风险指个别性、操作层面的瑕疵。</w:t>
      </w:r>
    </w:p>
    <w:p>
      <w:pPr>
        <w:pStyle w:val="Heading1"/>
      </w:pPr>
      <w:r>
        <w:t xml:space="preserve">五、主要发现与整改建议</w:t>
      </w:r>
    </w:p>
    <w:p>
      <w:pPr>
        <w:spacing w:after="120" w:line="320"/>
      </w:pPr>
      <w:r>
        <w:rPr>
          <w:rFonts w:ascii="Microsoft YaHei" w:cs="Microsoft YaHei" w:eastAsia="Microsoft YaHei" w:hAnsi="Microsoft YaHei"/>
          <w:sz w:val="22"/>
          <w:szCs w:val="22"/>
        </w:rPr>
        <w:t xml:space="preserve">下表列示本次审阅的代表性发现(节选 8 项,完整 14 项问题清单及跟踪状态见配套 XLSX 问题台账)。所有问题、机构与金额均为虚构示例。</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1200"/>
        <w:gridCol w:w="2800"/>
        <w:gridCol w:w="700"/>
        <w:gridCol w:w="2300"/>
        <w:gridCol w:w="1226"/>
      </w:tblGrid>
      <w:tr>
        <w:trPr>
          <w:tblHeader/>
        </w:trPr>
        <w:tc>
          <w:tcPr>
            <w:tcW w:type="dxa" w:w="8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编号</w:t>
            </w:r>
          </w:p>
        </w:tc>
        <w:tc>
          <w:tcPr>
            <w:tcW w:type="dxa" w:w="12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领域</w:t>
            </w:r>
          </w:p>
        </w:tc>
        <w:tc>
          <w:tcPr>
            <w:tcW w:type="dxa" w:w="28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问题描述</w:t>
            </w:r>
          </w:p>
        </w:tc>
        <w:tc>
          <w:tcPr>
            <w:tcW w:type="dxa" w:w="7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等级</w:t>
            </w:r>
          </w:p>
        </w:tc>
        <w:tc>
          <w:tcPr>
            <w:tcW w:type="dxa" w:w="2300"/>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整改建议</w:t>
            </w:r>
          </w:p>
        </w:tc>
        <w:tc>
          <w:tcPr>
            <w:tcW w:type="dxa" w:w="1226"/>
            <w:tcBorders>
              <w:top w:val="single" w:color="BFBFBF" w:sz="1"/>
              <w:left w:val="single" w:color="BFBFBF" w:sz="1"/>
              <w:bottom w:val="single" w:color="BFBFBF" w:sz="1"/>
              <w:right w:val="single" w:color="BFBFBF" w:sz="1"/>
            </w:tcBorders>
            <w:shd w:fill="1F4E79" w:val="clear"/>
            <w:tcMar>
              <w:top w:type="dxa" w:w="80"/>
              <w:left w:type="dxa" w:w="120"/>
              <w:bottom w:type="dxa" w:w="80"/>
              <w:right w:type="dxa" w:w="120"/>
            </w:tcMar>
            <w:vAlign w:val="center"/>
          </w:tcPr>
          <w:p>
            <w:pPr>
              <w:jc w:val="center"/>
            </w:pPr>
            <w:r>
              <w:rPr>
                <w:rFonts w:ascii="Microsoft YaHei" w:cs="Microsoft YaHei" w:eastAsia="Microsoft YaHei" w:hAnsi="Microsoft YaHei"/>
                <w:b/>
                <w:bCs/>
                <w:color w:val="FFFFFF"/>
                <w:sz w:val="20"/>
                <w:szCs w:val="20"/>
              </w:rPr>
              <w:t xml:space="preserve">责任单位</w:t>
            </w:r>
          </w:p>
        </w:tc>
      </w:tr>
      <w:tr>
        <w:tc>
          <w:tcPr>
            <w:tcW w:type="dxa" w:w="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F-01</w:t>
            </w:r>
          </w:p>
        </w:tc>
        <w:tc>
          <w:tcPr>
            <w:tcW w:type="dxa" w:w="1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互联网渠道</w:t>
            </w:r>
          </w:p>
        </w:tc>
        <w:tc>
          <w:tcPr>
            <w:tcW w:type="dxa" w:w="2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某款增额终身寿险产品页面利益演示未同时展示保证利益与非保证利益,存在夸大收益倾向。</w:t>
            </w:r>
          </w:p>
        </w:tc>
        <w:tc>
          <w:tcPr>
            <w:tcW w:type="dxa" w:w="7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高</w:t>
            </w:r>
          </w:p>
        </w:tc>
        <w:tc>
          <w:tcPr>
            <w:tcW w:type="dxa" w:w="23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下架整改产品页面,建立上线前合规审查双签制度。</w:t>
            </w:r>
          </w:p>
        </w:tc>
        <w:tc>
          <w:tcPr>
            <w:tcW w:type="dxa" w:w="12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互联网业务部(2026-09-30)</w:t>
            </w:r>
          </w:p>
        </w:tc>
      </w:tr>
      <w:tr>
        <w:tc>
          <w:tcPr>
            <w:tcW w:type="dxa" w:w="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F-02</w:t>
            </w:r>
          </w:p>
        </w:tc>
        <w:tc>
          <w:tcPr>
            <w:tcW w:type="dxa" w:w="1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双录管理</w:t>
            </w:r>
          </w:p>
        </w:tc>
        <w:tc>
          <w:tcPr>
            <w:tcW w:type="dxa" w:w="2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银保渠道 65 岁以上投保人双录执行率 82%,低于 100% 的监管要求;部分影像存在关键话术缺失。</w:t>
            </w:r>
          </w:p>
        </w:tc>
        <w:tc>
          <w:tcPr>
            <w:tcW w:type="dxa" w:w="7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高</w:t>
            </w:r>
          </w:p>
        </w:tc>
        <w:tc>
          <w:tcPr>
            <w:tcW w:type="dxa" w:w="23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开展双录补录与全量质检,将执行率纳入分支机构考核。</w:t>
            </w:r>
          </w:p>
        </w:tc>
        <w:tc>
          <w:tcPr>
            <w:tcW w:type="dxa" w:w="12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银保部(2026-09-30)</w:t>
            </w:r>
          </w:p>
        </w:tc>
      </w:tr>
      <w:tr>
        <w:tc>
          <w:tcPr>
            <w:tcW w:type="dxa" w:w="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F-03</w:t>
            </w:r>
          </w:p>
        </w:tc>
        <w:tc>
          <w:tcPr>
            <w:tcW w:type="dxa" w:w="1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宣传材料</w:t>
            </w:r>
          </w:p>
        </w:tc>
        <w:tc>
          <w:tcPr>
            <w:tcW w:type="dxa" w:w="2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华南分公司 3 份自制宣传单页未经总公司审批,含“限时停售”等误导性表述。</w:t>
            </w:r>
          </w:p>
        </w:tc>
        <w:tc>
          <w:tcPr>
            <w:tcW w:type="dxa" w:w="7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中</w:t>
            </w:r>
          </w:p>
        </w:tc>
        <w:tc>
          <w:tcPr>
            <w:tcW w:type="dxa" w:w="23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收回销毁违规材料,重申宣传材料统一审批流程并全辖排查。</w:t>
            </w:r>
          </w:p>
        </w:tc>
        <w:tc>
          <w:tcPr>
            <w:tcW w:type="dxa" w:w="12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华南分公司(2026-10-31)</w:t>
            </w:r>
          </w:p>
        </w:tc>
      </w:tr>
      <w:tr>
        <w:tc>
          <w:tcPr>
            <w:tcW w:type="dxa" w:w="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F-04</w:t>
            </w:r>
          </w:p>
        </w:tc>
        <w:tc>
          <w:tcPr>
            <w:tcW w:type="dxa" w:w="1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适当性管理</w:t>
            </w:r>
          </w:p>
        </w:tc>
        <w:tc>
          <w:tcPr>
            <w:tcW w:type="dxa" w:w="2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抽样发现 11 件保单风险承受能力评估问卷由代理人代填痕迹明显。</w:t>
            </w:r>
          </w:p>
        </w:tc>
        <w:tc>
          <w:tcPr>
            <w:tcW w:type="dxa" w:w="7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中</w:t>
            </w:r>
          </w:p>
        </w:tc>
        <w:tc>
          <w:tcPr>
            <w:tcW w:type="dxa" w:w="23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上线投保人人脸识别与本人作答校验,追责相关代理人。</w:t>
            </w:r>
          </w:p>
        </w:tc>
        <w:tc>
          <w:tcPr>
            <w:tcW w:type="dxa" w:w="12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个险部(2026-10-31)</w:t>
            </w:r>
          </w:p>
        </w:tc>
      </w:tr>
      <w:tr>
        <w:tc>
          <w:tcPr>
            <w:tcW w:type="dxa" w:w="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F-05</w:t>
            </w:r>
          </w:p>
        </w:tc>
        <w:tc>
          <w:tcPr>
            <w:tcW w:type="dxa" w:w="1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投诉处理</w:t>
            </w:r>
          </w:p>
        </w:tc>
        <w:tc>
          <w:tcPr>
            <w:tcW w:type="dxa" w:w="2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6 月投诉件平均办结时长 21 天,超过公司制度规定的 15 天时限。</w:t>
            </w:r>
          </w:p>
        </w:tc>
        <w:tc>
          <w:tcPr>
            <w:tcW w:type="dxa" w:w="7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中</w:t>
            </w:r>
          </w:p>
        </w:tc>
        <w:tc>
          <w:tcPr>
            <w:tcW w:type="dxa" w:w="23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增配客服资源,建立超期预警看板,按周通报。</w:t>
            </w:r>
          </w:p>
        </w:tc>
        <w:tc>
          <w:tcPr>
            <w:tcW w:type="dxa" w:w="12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客户服务部(2026-09-30)</w:t>
            </w:r>
          </w:p>
        </w:tc>
      </w:tr>
      <w:tr>
        <w:tc>
          <w:tcPr>
            <w:tcW w:type="dxa" w:w="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F-06</w:t>
            </w:r>
          </w:p>
        </w:tc>
        <w:tc>
          <w:tcPr>
            <w:tcW w:type="dxa" w:w="1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佣金管理</w:t>
            </w:r>
          </w:p>
        </w:tc>
        <w:tc>
          <w:tcPr>
            <w:tcW w:type="dxa" w:w="2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个别银保网点存在以“绩效奖励”名义变相提高手续费的迹象,涉及金额约 4.2 万元(示例数据)。</w:t>
            </w:r>
          </w:p>
        </w:tc>
        <w:tc>
          <w:tcPr>
            <w:tcW w:type="dxa" w:w="7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中</w:t>
            </w:r>
          </w:p>
        </w:tc>
        <w:tc>
          <w:tcPr>
            <w:tcW w:type="dxa" w:w="23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开展手续费专项核查,完善费用列支审批链条。</w:t>
            </w:r>
          </w:p>
        </w:tc>
        <w:tc>
          <w:tcPr>
            <w:tcW w:type="dxa" w:w="12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银保部(2026-11-30)</w:t>
            </w:r>
          </w:p>
        </w:tc>
      </w:tr>
      <w:tr>
        <w:tc>
          <w:tcPr>
            <w:tcW w:type="dxa" w:w="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F-07</w:t>
            </w:r>
          </w:p>
        </w:tc>
        <w:tc>
          <w:tcPr>
            <w:tcW w:type="dxa" w:w="12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制度建设</w:t>
            </w:r>
          </w:p>
        </w:tc>
        <w:tc>
          <w:tcPr>
            <w:tcW w:type="dxa" w:w="28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《互联网保险业务管理细则》尚未按 2025 年监管新规完成修订。</w:t>
            </w:r>
          </w:p>
        </w:tc>
        <w:tc>
          <w:tcPr>
            <w:tcW w:type="dxa" w:w="7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中</w:t>
            </w:r>
          </w:p>
        </w:tc>
        <w:tc>
          <w:tcPr>
            <w:tcW w:type="dxa" w:w="2300"/>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于三季度末前完成制度修订并组织全员宣导。</w:t>
            </w:r>
          </w:p>
        </w:tc>
        <w:tc>
          <w:tcPr>
            <w:tcW w:type="dxa" w:w="1226"/>
            <w:tcBorders>
              <w:top w:val="single" w:color="BFBFBF" w:sz="1"/>
              <w:left w:val="single" w:color="BFBFBF" w:sz="1"/>
              <w:bottom w:val="single" w:color="BFBFBF" w:sz="1"/>
              <w:right w:val="single" w:color="BFBFBF" w:sz="1"/>
            </w:tcBorders>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合规与风险管理部(2026-09-30)</w:t>
            </w:r>
          </w:p>
        </w:tc>
      </w:tr>
      <w:tr>
        <w:tc>
          <w:tcPr>
            <w:tcW w:type="dxa" w:w="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F-08</w:t>
            </w:r>
          </w:p>
        </w:tc>
        <w:tc>
          <w:tcPr>
            <w:tcW w:type="dxa" w:w="12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档案管理</w:t>
            </w:r>
          </w:p>
        </w:tc>
        <w:tc>
          <w:tcPr>
            <w:tcW w:type="dxa" w:w="28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华北分公司 7 件保单纸质投保资料归档不完整,缺少告知书签收页。</w:t>
            </w:r>
          </w:p>
        </w:tc>
        <w:tc>
          <w:tcPr>
            <w:tcW w:type="dxa" w:w="7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低</w:t>
            </w:r>
          </w:p>
        </w:tc>
        <w:tc>
          <w:tcPr>
            <w:tcW w:type="dxa" w:w="2300"/>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补充归档并推进投保资料电子化影像管理。</w:t>
            </w:r>
          </w:p>
        </w:tc>
        <w:tc>
          <w:tcPr>
            <w:tcW w:type="dxa" w:w="1226"/>
            <w:tcBorders>
              <w:top w:val="single" w:color="BFBFBF" w:sz="1"/>
              <w:left w:val="single" w:color="BFBFBF" w:sz="1"/>
              <w:bottom w:val="single" w:color="BFBFBF" w:sz="1"/>
              <w:right w:val="single" w:color="BFBFBF" w:sz="1"/>
            </w:tcBorders>
            <w:shd w:fill="F2F7FB" w:val="clear"/>
            <w:tcMar>
              <w:top w:type="dxa" w:w="80"/>
              <w:left w:type="dxa" w:w="120"/>
              <w:bottom w:type="dxa" w:w="80"/>
              <w:right w:type="dxa" w:w="120"/>
            </w:tcMar>
            <w:vAlign w:val="center"/>
          </w:tcPr>
          <w:p>
            <w:pPr>
              <w:jc w:val="left"/>
            </w:pPr>
            <w:r>
              <w:rPr>
                <w:rFonts w:ascii="Microsoft YaHei" w:cs="Microsoft YaHei" w:eastAsia="Microsoft YaHei" w:hAnsi="Microsoft YaHei"/>
                <w:b w:val="false"/>
                <w:bCs w:val="false"/>
                <w:sz w:val="20"/>
                <w:szCs w:val="20"/>
              </w:rPr>
              <w:t xml:space="preserve">华北分公司(2026-10-31)</w:t>
            </w:r>
          </w:p>
        </w:tc>
      </w:tr>
    </w:tbl>
    <w:p>
      <w:pPr>
        <w:spacing w:after="120" w:line="320"/>
      </w:pPr>
      <w:r>
        <w:rPr>
          <w:rFonts w:ascii="Microsoft YaHei" w:cs="Microsoft YaHei" w:eastAsia="Microsoft YaHei" w:hAnsi="Microsoft YaHei"/>
          <w:sz w:val="22"/>
          <w:szCs w:val="22"/>
        </w:rPr>
        <w:t xml:space="preserve"/>
      </w:r>
    </w:p>
    <w:p>
      <w:pPr>
        <w:pStyle w:val="Heading1"/>
      </w:pPr>
      <w:r>
        <w:t xml:space="preserve">六、整改跟踪与闭环机制</w:t>
      </w:r>
    </w:p>
    <w:p>
      <w:pPr>
        <w:pStyle w:val="Heading2"/>
      </w:pPr>
      <w:r>
        <w:t xml:space="preserve">6.1 整改要求</w:t>
      </w:r>
    </w:p>
    <w:p>
      <w:pPr>
        <w:pStyle w:val="ListParagraph"/>
        <w:numPr>
          <w:ilvl w:val="0"/>
          <w:numId w:val="4"/>
        </w:numPr>
        <w:spacing w:after="80" w:line="300"/>
      </w:pPr>
      <w:r>
        <w:rPr>
          <w:rFonts w:ascii="Microsoft YaHei" w:cs="Microsoft YaHei" w:eastAsia="Microsoft YaHei" w:hAnsi="Microsoft YaHei"/>
          <w:sz w:val="22"/>
          <w:szCs w:val="22"/>
        </w:rPr>
        <w:t xml:space="preserve">责任单位应于本报告下发后 10 个工作日内制定整改方案,明确措施、责任人与时间表;</w:t>
      </w:r>
    </w:p>
    <w:p>
      <w:pPr>
        <w:pStyle w:val="ListParagraph"/>
        <w:numPr>
          <w:ilvl w:val="0"/>
          <w:numId w:val="4"/>
        </w:numPr>
        <w:spacing w:after="80" w:line="300"/>
      </w:pPr>
      <w:r>
        <w:rPr>
          <w:rFonts w:ascii="Microsoft YaHei" w:cs="Microsoft YaHei" w:eastAsia="Microsoft YaHei" w:hAnsi="Microsoft YaHei"/>
          <w:sz w:val="22"/>
          <w:szCs w:val="22"/>
        </w:rPr>
        <w:t xml:space="preserve">高风险问题整改期限原则上不超过 60 天,中风险不超过 90 天;</w:t>
      </w:r>
    </w:p>
    <w:p>
      <w:pPr>
        <w:pStyle w:val="ListParagraph"/>
        <w:numPr>
          <w:ilvl w:val="0"/>
          <w:numId w:val="4"/>
        </w:numPr>
        <w:spacing w:after="80" w:line="300"/>
      </w:pPr>
      <w:r>
        <w:rPr>
          <w:rFonts w:ascii="Microsoft YaHei" w:cs="Microsoft YaHei" w:eastAsia="Microsoft YaHei" w:hAnsi="Microsoft YaHei"/>
          <w:sz w:val="22"/>
          <w:szCs w:val="22"/>
        </w:rPr>
        <w:t xml:space="preserve">整改完成后由合规与风险管理部复核验证,达到销号标准方可关闭;</w:t>
      </w:r>
    </w:p>
    <w:p>
      <w:pPr>
        <w:pStyle w:val="ListParagraph"/>
        <w:numPr>
          <w:ilvl w:val="0"/>
          <w:numId w:val="4"/>
        </w:numPr>
        <w:spacing w:after="80" w:line="300"/>
      </w:pPr>
      <w:r>
        <w:rPr>
          <w:rFonts w:ascii="Microsoft YaHei" w:cs="Microsoft YaHei" w:eastAsia="Microsoft YaHei" w:hAnsi="Microsoft YaHei"/>
          <w:sz w:val="22"/>
          <w:szCs w:val="22"/>
        </w:rPr>
        <w:t xml:space="preserve">逾期未整改事项自动升级,列入分管高管督办清单并在季度合规委员会通报。</w:t>
      </w:r>
    </w:p>
    <w:p>
      <w:pPr>
        <w:pStyle w:val="Heading2"/>
      </w:pPr>
      <w:r>
        <w:t xml:space="preserve">6.2 跟踪工具</w:t>
      </w:r>
    </w:p>
    <w:p>
      <w:pPr>
        <w:spacing w:after="120" w:line="320"/>
      </w:pPr>
      <w:r>
        <w:rPr>
          <w:rFonts w:ascii="Microsoft YaHei" w:cs="Microsoft YaHei" w:eastAsia="Microsoft YaHei" w:hAnsi="Microsoft YaHei"/>
          <w:sz w:val="22"/>
          <w:szCs w:val="22"/>
        </w:rPr>
        <w:t xml:space="preserve">全部问题已录入配套 XLSX 模板中的“问题台账”工作表,台账内置整改状态、剩余天数与逾期预警的自动计算公式,并通过“汇总看板”工作表按风险等级与责任单位自动汇总,供月度合规例会使用。</w:t>
      </w:r>
    </w:p>
    <w:p>
      <w:pPr>
        <w:pStyle w:val="Heading2"/>
      </w:pPr>
      <w:r>
        <w:t xml:space="preserve">6.3 后续安排</w:t>
      </w:r>
    </w:p>
    <w:p>
      <w:pPr>
        <w:pStyle w:val="ListParagraph"/>
        <w:numPr>
          <w:ilvl w:val="0"/>
          <w:numId w:val="3"/>
        </w:numPr>
        <w:spacing w:after="80" w:line="300"/>
      </w:pPr>
      <w:r>
        <w:rPr>
          <w:rFonts w:ascii="Microsoft YaHei" w:cs="Microsoft YaHei" w:eastAsia="Microsoft YaHei" w:hAnsi="Microsoft YaHei"/>
          <w:sz w:val="22"/>
          <w:szCs w:val="22"/>
        </w:rPr>
        <w:t xml:space="preserve">2026 年 10 月:对高风险问题(F-01、F-02)开展整改验证专项检查;</w:t>
      </w:r>
    </w:p>
    <w:p>
      <w:pPr>
        <w:pStyle w:val="ListParagraph"/>
        <w:numPr>
          <w:ilvl w:val="0"/>
          <w:numId w:val="3"/>
        </w:numPr>
        <w:spacing w:after="80" w:line="300"/>
      </w:pPr>
      <w:r>
        <w:rPr>
          <w:rFonts w:ascii="Microsoft YaHei" w:cs="Microsoft YaHei" w:eastAsia="Microsoft YaHei" w:hAnsi="Microsoft YaHei"/>
          <w:sz w:val="22"/>
          <w:szCs w:val="22"/>
        </w:rPr>
        <w:t xml:space="preserve">2026 年 12 月:出具下半年合规审阅计划,将本期薄弱领域列为必检项;</w:t>
      </w:r>
    </w:p>
    <w:p>
      <w:pPr>
        <w:pStyle w:val="ListParagraph"/>
        <w:numPr>
          <w:ilvl w:val="0"/>
          <w:numId w:val="3"/>
        </w:numPr>
        <w:spacing w:after="80" w:line="300"/>
      </w:pPr>
      <w:r>
        <w:rPr>
          <w:rFonts w:ascii="Microsoft YaHei" w:cs="Microsoft YaHei" w:eastAsia="Microsoft YaHei" w:hAnsi="Microsoft YaHei"/>
          <w:sz w:val="22"/>
          <w:szCs w:val="22"/>
        </w:rPr>
        <w:t xml:space="preserve">持续:每月更新问题台账,向合规委员会报送整改进度简报。</w:t>
      </w:r>
    </w:p>
    <w:p>
      <w:pPr>
        <w:pStyle w:val="Heading1"/>
      </w:pPr>
      <w:r>
        <w:t xml:space="preserve">七、声明与使用限制</w:t>
      </w:r>
    </w:p>
    <w:p>
      <w:pPr>
        <w:spacing w:after="120" w:line="320"/>
      </w:pPr>
      <w:r>
        <w:rPr>
          <w:rFonts w:ascii="Microsoft YaHei" w:cs="Microsoft YaHei" w:eastAsia="Microsoft YaHei" w:hAnsi="Microsoft YaHei"/>
          <w:sz w:val="22"/>
          <w:szCs w:val="22"/>
        </w:rPr>
        <w:t xml:space="preserve">本报告为「境核AI」场景体验库示例产物,文中公司名称、机构、人员、保单、金额、比率及问题事项均为虚构演示数据,不代表任何真实客户、真实机构或真实调研结果,不构成法律或合规意见。使用者可在此模板基础上替换为本机构实际数据后正式使用。</w:t>
      </w:r>
    </w:p>
    <w:p>
      <w:pPr>
        <w:spacing w:after="120" w:line="320"/>
      </w:pPr>
      <w:r>
        <w:rPr>
          <w:rFonts w:ascii="Microsoft YaHei" w:cs="Microsoft YaHei" w:eastAsia="Microsoft YaHei" w:hAnsi="Microsoft YaHei"/>
          <w:sz w:val="22"/>
          <w:szCs w:val="22"/>
        </w:rPr>
        <w:t xml:space="preserve">报告使用范围:公司董事会、合规委员会及相关责任部门内部使用,未经出具部门书面同意不得外传。</w:t>
      </w:r>
    </w:p>
    <w:p>
      <w:pPr>
        <w:spacing w:before="480"/>
      </w:pPr>
    </w:p>
    <w:p>
      <w:pPr>
        <w:tabs>
          <w:tab w:val="right" w:pos="9026"/>
        </w:tabs>
      </w:pPr>
      <w:r>
        <w:rPr>
          <w:rFonts w:ascii="Microsoft YaHei" w:cs="Microsoft YaHei" w:eastAsia="Microsoft YaHei" w:hAnsi="Microsoft YaHei"/>
          <w:sz w:val="22"/>
          <w:szCs w:val="22"/>
        </w:rPr>
        <w:t xml:space="preserve">出具部门:合规与风险管理部(示例)</w:t>
      </w:r>
      <w:r>
        <w:rPr>
          <w:rFonts w:ascii="Microsoft YaHei" w:cs="Microsoft YaHei" w:eastAsia="Microsoft YaHei" w:hAnsi="Microsoft YaHei"/>
          <w:sz w:val="22"/>
          <w:szCs w:val="22"/>
        </w:rPr>
        <w:t xml:space="preserve">	日期:2026 年 8 月 31 日</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4E79" w:sz="6" w:space="4"/>
      </w:pBdr>
      <w:jc w:val="center"/>
    </w:pPr>
    <w:r>
      <w:rPr>
        <w:rFonts w:ascii="Microsoft YaHei" w:cs="Microsoft YaHei" w:eastAsia="Microsoft YaHei" w:hAnsi="Microsoft YaHei"/>
        <w:color w:val="595959"/>
        <w:sz w:val="18"/>
        <w:szCs w:val="18"/>
      </w:rPr>
      <w:t xml:space="preserve">示例文档 · 数据均为虚构 —— 第 </w:t>
    </w:r>
    <w:r>
      <w:rPr>
        <w:rFonts w:ascii="Microsoft YaHei" w:cs="Microsoft YaHei" w:eastAsia="Microsoft YaHei" w:hAnsi="Microsoft YaHei"/>
        <w:color w:val="595959"/>
        <w:sz w:val="18"/>
        <w:szCs w:val="18"/>
      </w:rPr>
      <w:fldChar w:fldCharType="begin"/>
      <w:instrText xml:space="preserve">PAGE</w:instrText>
      <w:fldChar w:fldCharType="separate"/>
      <w:fldChar w:fldCharType="end"/>
    </w:r>
    <w:r>
      <w:rPr>
        <w:rFonts w:ascii="Microsoft YaHei" w:cs="Microsoft YaHei" w:eastAsia="Microsoft YaHei" w:hAnsi="Microsoft YaHei"/>
        <w:color w:val="595959"/>
        <w:sz w:val="18"/>
        <w:szCs w:val="18"/>
      </w:rPr>
      <w:t xml:space="preserve"> 页,共 </w:t>
    </w:r>
    <w:r>
      <w:rPr>
        <w:rFonts w:ascii="Microsoft YaHei" w:cs="Microsoft YaHei" w:eastAsia="Microsoft YaHei" w:hAnsi="Microsoft YaHei"/>
        <w:color w:val="595959"/>
        <w:sz w:val="18"/>
        <w:szCs w:val="18"/>
      </w:rPr>
      <w:fldChar w:fldCharType="begin"/>
      <w:instrText xml:space="preserve">NUMPAGES</w:instrText>
      <w:fldChar w:fldCharType="separate"/>
      <w:fldChar w:fldCharType="end"/>
    </w:r>
    <w:r>
      <w:rPr>
        <w:rFonts w:ascii="Microsoft YaHei" w:cs="Microsoft YaHei" w:eastAsia="Microsoft YaHei" w:hAnsi="Microsoft YaHei"/>
        <w:color w:val="595959"/>
        <w:sz w:val="18"/>
        <w:szCs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6" w:space="4"/>
      </w:pBdr>
      <w:tabs>
        <w:tab w:val="right" w:pos="9026"/>
      </w:tabs>
    </w:pPr>
    <w:r>
      <w:rPr>
        <w:rFonts w:ascii="Microsoft YaHei" w:cs="Microsoft YaHei" w:eastAsia="Microsoft YaHei" w:hAnsi="Microsoft YaHei"/>
        <w:color w:val="595959"/>
        <w:sz w:val="18"/>
        <w:szCs w:val="18"/>
      </w:rPr>
      <w:t xml:space="preserve">示例保险股份有限公司 · 合规审阅报告(示例)</w:t>
    </w:r>
    <w:r>
      <w:rPr>
        <w:rFonts w:ascii="Microsoft YaHei" w:cs="Microsoft YaHei" w:eastAsia="Microsoft YaHei" w:hAnsi="Microsoft YaHei"/>
        <w:color w:val="595959"/>
        <w:sz w:val="18"/>
        <w:szCs w:val="18"/>
      </w:rPr>
      <w:t xml:space="preserve">	内部使用 · 机密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80"/>
      <w:outlineLvl w:val="0"/>
    </w:pPr>
    <w:rPr>
      <w:rFonts w:ascii="Microsoft YaHei" w:cs="Microsoft YaHei" w:eastAsia="Microsoft YaHei" w:hAnsi="Microsoft YaHei"/>
      <w:b/>
      <w:bCs/>
      <w:color w:val="1F4E79"/>
      <w:sz w:val="30"/>
      <w:szCs w:val="30"/>
    </w:rPr>
  </w:style>
  <w:style w:type="paragraph" w:styleId="Heading2">
    <w:name w:val="Heading 2"/>
    <w:basedOn w:val="Normal"/>
    <w:next w:val="Normal"/>
    <w:qFormat/>
    <w:pPr>
      <w:spacing w:after="140" w:before="220"/>
      <w:outlineLvl w:val="1"/>
    </w:pPr>
    <w:rPr>
      <w:rFonts w:ascii="Microsoft YaHei" w:cs="Microsoft YaHei" w:eastAsia="Microsoft YaHei" w:hAnsi="Microsoft YaHei"/>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金融/保险 合规审阅报告(示例)</dc:title>
  <dc:creator>境核AI 场景体验库</dc:creator>
  <cp:lastModifiedBy>Un-named</cp:lastModifiedBy>
  <cp:revision>1</cp:revision>
  <dcterms:created xsi:type="dcterms:W3CDTF">2026-08-31T10:09:49.381Z</dcterms:created>
  <dcterms:modified xsi:type="dcterms:W3CDTF">2026-08-31T10:09:49.381Z</dcterms:modified>
</cp:coreProperties>
</file>

<file path=docProps/custom.xml><?xml version="1.0" encoding="utf-8"?>
<Properties xmlns="http://schemas.openxmlformats.org/officeDocument/2006/custom-properties" xmlns:vt="http://schemas.openxmlformats.org/officeDocument/2006/docPropsVTypes"/>
</file>