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color w:val="C00000"/>
          <w:sz w:val="52"/>
          <w:szCs w:val="52"/>
        </w:rPr>
        <w:t xml:space="preserve">工 作 简 报</w:t>
      </w:r>
    </w:p>
    <w:p>
      <w:pPr>
        <w:spacing w:after="40"/>
        <w:jc w:val="center"/>
      </w:pPr>
      <w:r>
        <w:rPr>
          <w:color w:val="1F4E79"/>
          <w:sz w:val="22"/>
          <w:szCs w:val="22"/>
        </w:rPr>
        <w:t xml:space="preserve">智慧供应链平台项目 · 2026 年第二季度</w:t>
      </w:r>
    </w:p>
    <w:p>
      <w:pPr>
        <w:pBdr>
          <w:bottom w:val="single" w:color="C00000" w:sz="18" w:space="4"/>
        </w:pBdr>
        <w:jc w:val="center"/>
      </w:pPr>
      <w:r>
        <w:t xml:space="preserve"/>
      </w:r>
    </w:p>
    <w:p>
      <w:pPr>
        <w:tabs>
          <w:tab w:val="center" w:pos="5040"/>
          <w:tab w:val="right" w:pos="10080"/>
        </w:tabs>
        <w:spacing w:after="100" w:before="60"/>
      </w:pPr>
      <w:r>
        <w:rPr>
          <w:color w:val="808080"/>
          <w:sz w:val="18"/>
          <w:szCs w:val="18"/>
        </w:rPr>
        <w:t xml:space="preserve">第 2026-Q2 期（示例）</w:t>
      </w:r>
      <w:r>
        <w:rPr>
          <w:color w:val="808080"/>
          <w:sz w:val="18"/>
          <w:szCs w:val="18"/>
        </w:rPr>
        <w:t xml:space="preserve">	编制：运营管理部</w:t>
      </w:r>
      <w:r>
        <w:rPr>
          <w:color w:val="808080"/>
          <w:sz w:val="18"/>
          <w:szCs w:val="18"/>
        </w:rPr>
        <w:t xml:space="preserve">	日期：2026-07-08</w:t>
      </w:r>
    </w:p>
    <w:p>
      <w:pPr>
        <w:pBdr>
          <w:left w:val="single" w:color="C00000" w:sz="20" w:space="8"/>
        </w:pBdr>
        <w:shd w:fill="EAF1FB" w:val="clear"/>
        <w:spacing w:after="40"/>
      </w:pPr>
      <w:r>
        <w:rPr>
          <w:b/>
          <w:bCs/>
          <w:color w:val="C00000"/>
          <w:sz w:val="21"/>
          <w:szCs w:val="21"/>
        </w:rPr>
        <w:t xml:space="preserve">一句话结论：</w:t>
      </w:r>
      <w:r>
        <w:rPr>
          <w:sz w:val="21"/>
          <w:szCs w:val="21"/>
        </w:rPr>
        <w:t xml:space="preserve">本季度主要指标全面向好、总体进展健康（计划达成率 87.5%）；唯一短板是高峰期系统稳定性，建议三季度作为最高优先级攻坚，同时按计划推进商业化扩展。</w:t>
      </w:r>
    </w:p>
    <w:p>
      <w:pPr>
        <w:shd w:fill="1F4E79" w:val="clear"/>
        <w:spacing w:after="70" w:before="110"/>
      </w:pPr>
      <w:r>
        <w:rPr>
          <w:b/>
          <w:bCs/>
          <w:color w:val="FFFFFF"/>
          <w:sz w:val="22"/>
          <w:szCs w:val="22"/>
        </w:rPr>
        <w:t xml:space="preserve">  01  </w:t>
      </w:r>
      <w:r>
        <w:rPr>
          <w:b/>
          <w:bCs/>
          <w:color w:val="FFFFFF"/>
          <w:sz w:val="22"/>
          <w:szCs w:val="22"/>
        </w:rPr>
        <w:t xml:space="preserve">关键指标速览（示例数据）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600"/>
        <w:gridCol w:w="1600"/>
        <w:gridCol w:w="1600"/>
        <w:gridCol w:w="1560"/>
      </w:tblGrid>
      <w:tr>
        <w:trPr>
          <w:tblHeader/>
        </w:trPr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季初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季末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目标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达成</w:t>
            </w:r>
          </w:p>
        </w:tc>
      </w:tr>
      <w:tr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月活跃客户数（家）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1,240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1,690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1,600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超额</w:t>
            </w:r>
          </w:p>
        </w:tc>
      </w:tr>
      <w:tr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平均履约时长（h）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48.6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39.2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≤40.0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达成</w:t>
            </w:r>
          </w:p>
        </w:tc>
      </w:tr>
      <w:tr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订单准时率（%）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82.4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93.7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≥92.0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达成</w:t>
            </w:r>
          </w:p>
        </w:tc>
      </w:tr>
      <w:tr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客户满意度（分）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85.3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91.2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≥90.0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达成</w:t>
            </w:r>
          </w:p>
        </w:tc>
      </w:tr>
      <w:tr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系统高峰可用率（%）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99.1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99.3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≥99.9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C00000"/>
                <w:sz w:val="20"/>
                <w:szCs w:val="20"/>
              </w:rPr>
              <w:t xml:space="preserve">未达</w:t>
            </w:r>
          </w:p>
        </w:tc>
      </w:tr>
    </w:tbl>
    <w:p>
      <w:pPr>
        <w:shd w:fill="1F4E79" w:val="clear"/>
        <w:spacing w:after="70" w:before="110"/>
      </w:pPr>
      <w:r>
        <w:rPr>
          <w:b/>
          <w:bCs/>
          <w:color w:val="FFFFFF"/>
          <w:sz w:val="22"/>
          <w:szCs w:val="22"/>
        </w:rPr>
        <w:t xml:space="preserve">  02  </w:t>
      </w:r>
      <w:r>
        <w:rPr>
          <w:b/>
          <w:bCs/>
          <w:color w:val="FFFFFF"/>
          <w:sz w:val="22"/>
          <w:szCs w:val="22"/>
        </w:rPr>
        <w:t xml:space="preserve">背景与进展</w:t>
      </w:r>
    </w:p>
    <w:p>
      <w:pPr>
        <w:spacing w:after="60" w:line="276"/>
        <w:jc w:val="both"/>
      </w:pPr>
      <w:r>
        <w:rPr>
          <w:b/>
          <w:bCs/>
          <w:color w:val="1F4E79"/>
        </w:rPr>
        <w:t xml:space="preserve">背景：</w:t>
      </w:r>
      <w:r>
        <w:rPr>
          <w:sz w:val="20"/>
          <w:szCs w:val="20"/>
        </w:rPr>
        <w:t xml:space="preserve">项目已由功能建设期进入规模化运营期，本季度聚焦平台 2.0 上线、区域仓网优化与履约体验提升三条主线。</w:t>
      </w:r>
    </w:p>
    <w:p>
      <w:pPr>
        <w:spacing w:after="60" w:line="276"/>
        <w:jc w:val="both"/>
      </w:pPr>
      <w:r>
        <w:rPr>
          <w:b/>
          <w:bCs/>
          <w:color w:val="1F4E79"/>
        </w:rPr>
        <w:t xml:space="preserve">进展：</w:t>
      </w:r>
      <w:r>
        <w:rPr>
          <w:sz w:val="20"/>
          <w:szCs w:val="20"/>
        </w:rPr>
        <w:t xml:space="preserve">32 项计划任务完成 28 项（达成率 87.5%）。平台 2.0 于 5 月 20 日上线（智能调拨 / 经营看板 / 开放 API）；华东、华南 9 个前置仓完成切换，配送半径缩短约 22%；开放 API 已接入 46 家客户系统。</w:t>
      </w:r>
    </w:p>
    <w:p>
      <w:pPr>
        <w:shd w:fill="1F4E79" w:val="clear"/>
        <w:spacing w:after="70" w:before="110"/>
      </w:pPr>
      <w:r>
        <w:rPr>
          <w:b/>
          <w:bCs/>
          <w:color w:val="FFFFFF"/>
          <w:sz w:val="22"/>
          <w:szCs w:val="22"/>
        </w:rPr>
        <w:t xml:space="preserve">  03  </w:t>
      </w:r>
      <w:r>
        <w:rPr>
          <w:b/>
          <w:bCs/>
          <w:color w:val="FFFFFF"/>
          <w:sz w:val="22"/>
          <w:szCs w:val="22"/>
        </w:rPr>
        <w:t xml:space="preserve">主要问题（按紧急度）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"/>
        <w:gridCol w:w="4550"/>
        <w:gridCol w:w="1400"/>
        <w:gridCol w:w="2760"/>
      </w:tblGrid>
      <w:tr>
        <w:trPr>
          <w:tblHeader/>
        </w:trPr>
        <w:tc>
          <w:tcPr>
            <w:tcW w:type="dxa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45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问题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紧急度</w:t>
            </w:r>
          </w:p>
        </w:tc>
        <w:tc>
          <w:tcPr>
            <w:tcW w:type="dxa" w:w="2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责任线</w:t>
            </w:r>
          </w:p>
        </w:tc>
      </w:tr>
      <w:tr>
        <w:tc>
          <w:tcPr>
            <w:tcW w:type="dxa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P1</w:t>
            </w:r>
          </w:p>
        </w:tc>
        <w:tc>
          <w:tcPr>
            <w:tcW w:type="dxa" w:w="45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高峰时段系统响应变慢、偶发超时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C00000"/>
                <w:sz w:val="20"/>
                <w:szCs w:val="20"/>
              </w:rPr>
              <w:t xml:space="preserve">高</w:t>
            </w:r>
          </w:p>
        </w:tc>
        <w:tc>
          <w:tcPr>
            <w:tcW w:type="dxa" w:w="2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平台建设</w:t>
            </w:r>
          </w:p>
        </w:tc>
      </w:tr>
      <w:tr>
        <w:tc>
          <w:tcPr>
            <w:tcW w:type="dxa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P2</w:t>
            </w:r>
          </w:p>
        </w:tc>
        <w:tc>
          <w:tcPr>
            <w:tcW w:type="dxa" w:w="45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跨区域库存调拨依赖人工，易缺货/积压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C55A11"/>
                <w:sz w:val="20"/>
                <w:szCs w:val="20"/>
              </w:rPr>
              <w:t xml:space="preserve">中</w:t>
            </w:r>
          </w:p>
        </w:tc>
        <w:tc>
          <w:tcPr>
            <w:tcW w:type="dxa" w:w="2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仓网优化</w:t>
            </w:r>
          </w:p>
        </w:tc>
      </w:tr>
      <w:tr>
        <w:tc>
          <w:tcPr>
            <w:tcW w:type="dxa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P3</w:t>
            </w:r>
          </w:p>
        </w:tc>
        <w:tc>
          <w:tcPr>
            <w:tcW w:type="dxa" w:w="45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多系统数据口径不一致，报表对不齐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C55A11"/>
                <w:sz w:val="20"/>
                <w:szCs w:val="20"/>
              </w:rPr>
              <w:t xml:space="preserve">中</w:t>
            </w:r>
          </w:p>
        </w:tc>
        <w:tc>
          <w:tcPr>
            <w:tcW w:type="dxa" w:w="2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数据治理</w:t>
            </w:r>
          </w:p>
        </w:tc>
      </w:tr>
    </w:tbl>
    <w:p>
      <w:pPr>
        <w:shd w:fill="1F4E79" w:val="clear"/>
        <w:spacing w:after="70" w:before="110"/>
      </w:pPr>
      <w:r>
        <w:rPr>
          <w:b/>
          <w:bCs/>
          <w:color w:val="FFFFFF"/>
          <w:sz w:val="22"/>
          <w:szCs w:val="22"/>
        </w:rPr>
        <w:t xml:space="preserve">  04  </w:t>
      </w:r>
      <w:r>
        <w:rPr>
          <w:b/>
          <w:bCs/>
          <w:color w:val="FFFFFF"/>
          <w:sz w:val="22"/>
          <w:szCs w:val="22"/>
        </w:rPr>
        <w:t xml:space="preserve">改进建议（按优先级）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b/>
          <w:bCs/>
          <w:color w:val="C00000"/>
          <w:sz w:val="20"/>
          <w:szCs w:val="20"/>
        </w:rPr>
        <w:t xml:space="preserve">P0 系统稳定性专项：</w:t>
      </w:r>
      <w:r>
        <w:rPr>
          <w:sz w:val="20"/>
          <w:szCs w:val="20"/>
        </w:rPr>
        <w:t xml:space="preserve">接口多级缓存 + 读写分离，扩容高峰资源，目标可用率 99.9%。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b/>
          <w:bCs/>
          <w:color w:val="1F4E79"/>
          <w:sz w:val="20"/>
          <w:szCs w:val="20"/>
        </w:rPr>
        <w:t xml:space="preserve">P1 智能调拨建设：</w:t>
      </w:r>
      <w:r>
        <w:rPr>
          <w:sz w:val="20"/>
          <w:szCs w:val="20"/>
        </w:rPr>
        <w:t xml:space="preserve">构建区域自动调拨模型，三季度自动化率提升至 60%+。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b/>
          <w:bCs/>
          <w:color w:val="1F4E79"/>
          <w:sz w:val="20"/>
          <w:szCs w:val="20"/>
        </w:rPr>
        <w:t xml:space="preserve">P1 统一数据口径：</w:t>
      </w:r>
      <w:r>
        <w:rPr>
          <w:sz w:val="20"/>
          <w:szCs w:val="20"/>
        </w:rPr>
        <w:t xml:space="preserve">建立指标字典与统一统计时点，以看板为唯一事实来源。</w:t>
      </w:r>
    </w:p>
    <w:p>
      <w:pPr>
        <w:shd w:fill="1F4E79" w:val="clear"/>
        <w:spacing w:after="70" w:before="110"/>
      </w:pPr>
      <w:r>
        <w:rPr>
          <w:b/>
          <w:bCs/>
          <w:color w:val="FFFFFF"/>
          <w:sz w:val="22"/>
          <w:szCs w:val="22"/>
        </w:rPr>
        <w:t xml:space="preserve">  05  </w:t>
      </w:r>
      <w:r>
        <w:rPr>
          <w:b/>
          <w:bCs/>
          <w:color w:val="FFFFFF"/>
          <w:sz w:val="22"/>
          <w:szCs w:val="22"/>
        </w:rPr>
        <w:t xml:space="preserve">后续计划与里程碑（三季度）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1900"/>
        <w:gridCol w:w="1900"/>
        <w:gridCol w:w="1560"/>
      </w:tblGrid>
      <w:tr>
        <w:trPr>
          <w:tblHeader/>
        </w:trP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任务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责任线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计划完成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里程碑</w:t>
            </w:r>
          </w:p>
        </w:tc>
      </w:tr>
      <w:t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系统稳定性专项治理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平台建设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2026-08-31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≥99.9%</w:t>
            </w:r>
          </w:p>
        </w:tc>
      </w:tr>
      <w:t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智能调拨模型上线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仓网优化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2026-09-15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≥60%</w:t>
            </w:r>
          </w:p>
        </w:tc>
      </w:tr>
      <w:t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统一数据口径与看板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数据治理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2026-08-20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字典发布</w:t>
            </w:r>
          </w:p>
        </w:tc>
      </w:tr>
      <w:t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商业化套餐与计费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运营管理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2026-09-10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3 档套餐</w:t>
            </w:r>
          </w:p>
        </w:tc>
      </w:tr>
    </w:tbl>
    <w:p>
      <w:pPr>
        <w:spacing w:before="60"/>
      </w:pPr>
      <w:r>
        <w:rPr>
          <w:color w:val="333333"/>
          <w:sz w:val="19"/>
          <w:szCs w:val="19"/>
        </w:rPr>
        <w:t xml:space="preserve">资源诉求：增配 2 名后端工程师；7 月内完成生产扩容审批；业务/产品/数据每两周联合评审一次。</w:t>
      </w:r>
    </w:p>
    <w:p>
      <w:pPr>
        <w:pBdr>
          <w:top w:val="single" w:color="D9E2F3" w:sz="4" w:space="4"/>
        </w:pBdr>
        <w:spacing w:before="70"/>
        <w:jc w:val="center"/>
      </w:pPr>
      <w:r>
        <w:rPr>
          <w:i/>
          <w:iCs/>
          <w:color w:val="808080"/>
          <w:sz w:val="17"/>
          <w:szCs w:val="17"/>
        </w:rPr>
        <w:t xml:space="preserve">本简报为「境核AI」生成的可编辑示例；详版分析、数据口径与附录见《季度工作报告（标准版）》。所有数据均为虚构示例。</w:t>
      </w:r>
    </w:p>
    <w:sectPr>
      <w:headerReference w:type="default" r:id="rId7"/>
      <w:footerReference w:type="default" r:id="rId8"/>
      <w:pgSz w:w="12240" w:h="15840" w:orient="portrait"/>
      <w:pgMar w:top="860" w:right="1080" w:bottom="7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2"/>
      </w:pBdr>
      <w:tabs>
        <w:tab w:val="center" w:pos="5040"/>
        <w:tab w:val="right" w:pos="10080"/>
      </w:tabs>
    </w:pPr>
    <w:r>
      <w:rPr>
        <w:color w:val="808080"/>
        <w:sz w:val="15"/>
        <w:szCs w:val="15"/>
      </w:rPr>
      <w:t xml:space="preserve">运营管理部 · 2026 Q2</w:t>
    </w:r>
    <w:r>
      <w:rPr>
        <w:color w:val="808080"/>
        <w:sz w:val="15"/>
        <w:szCs w:val="15"/>
      </w:rPr>
      <w:t xml:space="preserve">	第 </w:t>
    </w:r>
    <w:r>
      <w:rPr>
        <w:color w:val="80808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808080"/>
        <w:sz w:val="15"/>
        <w:szCs w:val="15"/>
      </w:rPr>
      <w:t xml:space="preserve"> / </w:t>
    </w:r>
    <w:r>
      <w:rPr>
        <w:color w:val="808080"/>
        <w:sz w:val="15"/>
        <w:szCs w:val="15"/>
      </w:rPr>
      <w:fldChar w:fldCharType="begin"/>
      <w:instrText xml:space="preserve">NUMPAGES</w:instrText>
      <w:fldChar w:fldCharType="separate"/>
      <w:fldChar w:fldCharType="end"/>
    </w:r>
    <w:r>
      <w:rPr>
        <w:color w:val="808080"/>
        <w:sz w:val="15"/>
        <w:szCs w:val="15"/>
      </w:rPr>
      <w:t xml:space="preserve"> 页</w:t>
    </w:r>
    <w:r>
      <w:rPr>
        <w:color w:val="808080"/>
        <w:sz w:val="15"/>
        <w:szCs w:val="15"/>
      </w:rPr>
      <w:t xml:space="preserve">	数据为虚构示例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rPr>
        <w:color w:val="808080"/>
        <w:sz w:val="15"/>
        <w:szCs w:val="15"/>
      </w:rPr>
      <w:t xml:space="preserve">内部工作简报（示例）</w:t>
    </w:r>
    <w:r>
      <w:rPr>
        <w:color w:val="808080"/>
        <w:sz w:val="15"/>
        <w:szCs w:val="15"/>
      </w:rPr>
      <w:t xml:space="preserve">	境核AI · 可编辑示例产物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460" w:hanging="240"/>
      </w:pPr>
      <w:rPr>
        <w:color w:val="2E75B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季度工作简报（精简版）</dc:title>
  <dc:creator>境核AI</dc:creator>
  <dc:description>一页式工作汇报简报示例</dc:description>
  <cp:lastModifiedBy>Un-named</cp:lastModifiedBy>
  <cp:revision>1</cp:revision>
  <dcterms:created xsi:type="dcterms:W3CDTF">2026-08-31T10:11:35.729Z</dcterms:created>
  <dcterms:modified xsi:type="dcterms:W3CDTF">2026-08-31T10:11:35.729Z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