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  <w:jc w:val="center"/>
      </w:pPr>
      <w:r>
        <w:rPr>
          <w:color w:val="808080"/>
          <w:sz w:val="22"/>
          <w:szCs w:val="22"/>
        </w:rPr>
        <w:t xml:space="preserve">〔示例文档〕</w:t>
      </w:r>
    </w:p>
    <w:p>
      <w:pPr>
        <w:pBdr>
          <w:bottom w:val="single" w:color="1F4E79" w:sz="12" w:space="8"/>
        </w:pBdr>
        <w:spacing w:after="120" w:before="200"/>
        <w:jc w:val="center"/>
      </w:pPr>
      <w:r>
        <w:rPr>
          <w:b/>
          <w:bCs/>
          <w:color w:val="808080"/>
          <w:sz w:val="30"/>
          <w:szCs w:val="30"/>
        </w:rPr>
        <w:t xml:space="preserve">智慧供应链平台项目</w:t>
      </w:r>
    </w:p>
    <w:p>
      <w:pPr>
        <w:spacing w:before="320"/>
        <w:jc w:val="center"/>
      </w:pPr>
      <w:r>
        <w:rPr>
          <w:b/>
          <w:bCs/>
          <w:color w:val="1F4E79"/>
          <w:sz w:val="64"/>
          <w:szCs w:val="64"/>
        </w:rPr>
        <w:t xml:space="preserve">季度工作报告</w:t>
      </w:r>
    </w:p>
    <w:p>
      <w:pPr>
        <w:spacing w:before="160"/>
        <w:jc w:val="center"/>
      </w:pPr>
      <w:r>
        <w:rPr>
          <w:color w:val="2E75B6"/>
          <w:sz w:val="28"/>
          <w:szCs w:val="28"/>
        </w:rPr>
        <w:t xml:space="preserve">2026 年第二季度 · 综合汇报</w:t>
      </w:r>
    </w:p>
    <w:p>
      <w:pPr>
        <w:spacing w:before="1400"/>
        <w:jc w:val="center"/>
      </w:pPr>
      <w:r>
        <w:rPr>
          <w:sz w:val="24"/>
          <w:szCs w:val="24"/>
        </w:rPr>
        <w:t xml:space="preserve">编制部门：运营管理部（示例）</w:t>
      </w:r>
    </w:p>
    <w:p>
      <w:pPr>
        <w:spacing w:before="80"/>
        <w:jc w:val="center"/>
      </w:pPr>
      <w:r>
        <w:rPr>
          <w:sz w:val="24"/>
          <w:szCs w:val="24"/>
        </w:rPr>
        <w:t xml:space="preserve">报告日期：2026 年 7 月 8 日</w:t>
      </w:r>
    </w:p>
    <w:p>
      <w:pPr>
        <w:spacing w:before="80"/>
        <w:jc w:val="center"/>
      </w:pPr>
      <w:r>
        <w:rPr>
          <w:color w:val="C00000"/>
          <w:sz w:val="22"/>
          <w:szCs w:val="22"/>
        </w:rPr>
        <w:t xml:space="preserve">密级：内部资料 · 请勿外传</w:t>
      </w:r>
    </w:p>
    <w:p>
      <w:pPr>
        <w:spacing w:before="1000"/>
        <w:jc w:val="center"/>
      </w:pPr>
      <w:r>
        <w:rPr>
          <w:i/>
          <w:iCs/>
          <w:color w:val="808080"/>
          <w:sz w:val="18"/>
          <w:szCs w:val="18"/>
        </w:rPr>
        <w:t xml:space="preserve">本报告由「境核AI」自动生成为可编辑示例产物，文中数据均为虚构示例，不代表任何真实客户或调研结果。</w:t>
      </w:r>
    </w:p>
    <w:p>
      <w:pPr>
        <w:sectPr>
          <w:pgSz w:w="12240" w:h="15840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</w:pPr>
      <w:r>
        <w:t xml:space="preserve">目录</w:t>
      </w:r>
    </w:p>
    <w:sdt>
      <w:sdtPr>
        <w:alias w:val="目录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摘要</w:t>
      </w:r>
    </w:p>
    <w:p>
      <w:pPr>
        <w:spacing w:after="120" w:line="300"/>
        <w:jc w:val="both"/>
      </w:pPr>
      <w:r>
        <w:t xml:space="preserve">本报告系统汇报智慧供应链平台项目在 2026 年第二季度（4 月至 6 月）的整体推进情况。季度内，项目团队围绕平台核心功能上线、区域仓网优化与客户履约体验提升三条主线开展工作，累计完成 32 项计划任务中的 28 项，整体计划达成率约 87.5%。</w:t>
      </w:r>
    </w:p>
    <w:p>
      <w:pPr>
        <w:spacing w:after="120" w:line="300"/>
        <w:jc w:val="both"/>
      </w:pPr>
      <w:r>
        <w:t xml:space="preserve">关键成效方面，平台月度活跃客户数由季初的 1,240 家增长至季末的 1,690 家，环比增长 36.3%；平均订单履约时长由 48.6 小时压缩至 39.2 小时，改善约 19.3%。同时，团队识别出系统高峰期稳定性、跨区域库存调拨与数据口径一致性三类主要问题，并在第五章、第六章分别给出改进建议与后续计划。</w:t>
      </w:r>
    </w:p>
    <w:p>
      <w:pPr>
        <w:pBdr>
          <w:left w:val="single" w:color="2E75B6" w:sz="18" w:space="8"/>
        </w:pBdr>
        <w:shd w:fill="EAF1FB" w:val="clear"/>
        <w:spacing w:after="160" w:before="80"/>
      </w:pPr>
      <w:r>
        <w:rPr>
          <w:b/>
          <w:bCs/>
          <w:color w:val="1F4E79"/>
        </w:rPr>
        <w:t xml:space="preserve">核心结论：</w:t>
      </w:r>
      <w:r>
        <w:t xml:space="preserve">项目总体进展健康、主要指标向好，建议按计划推进三季度商业化扩展，同时优先投入资源解决高峰期系统稳定性问题，以支撑更大规模的客户接入。</w:t>
      </w:r>
    </w:p>
    <w:p>
      <w:pPr>
        <w:pStyle w:val="Heading1"/>
      </w:pPr>
      <w:r>
        <w:t xml:space="preserve">一、报告背景与目标</w:t>
      </w:r>
    </w:p>
    <w:p>
      <w:pPr>
        <w:pStyle w:val="Heading2"/>
      </w:pPr>
      <w:r>
        <w:t xml:space="preserve">1.1 项目背景</w:t>
      </w:r>
    </w:p>
    <w:p>
      <w:pPr>
        <w:spacing w:after="120" w:line="300"/>
        <w:jc w:val="both"/>
      </w:pPr>
      <w:r>
        <w:t xml:space="preserve">智慧供应链平台项目于 2025 年第四季度立项，目标是通过统一的订单、库存与配送调度系统，帮助中小企业客户降低履约成本、提升交付确定性。截至本报告期，项目已完成从内部试点到区域推广的过渡，进入规模化运营阶段。</w:t>
      </w:r>
    </w:p>
    <w:p>
      <w:pPr>
        <w:spacing w:after="120" w:line="300"/>
        <w:jc w:val="both"/>
      </w:pPr>
      <w:r>
        <w:t xml:space="preserve">本季度是项目由「功能建设」转向「运营提效」的关键窗口期。外部环境上，客户对交付时效与信息透明度的要求持续提高；内部则面临系统承载能力、跨部门协同与数据治理等方面的现实挑战。</w:t>
      </w:r>
    </w:p>
    <w:p>
      <w:pPr>
        <w:pStyle w:val="Heading2"/>
      </w:pPr>
      <w:r>
        <w:t xml:space="preserve">1.2 本期目标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完成平台 2.0 版核心功能（智能调拨、可视化看板、开放 API）上线并稳定运行；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将平均订单履约时长压缩至 40 小时以内，客户满意度（CSAT）提升至 90 分以上；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完成华东、华南两大区域的仓网优化，仓储周转率提升 15% 以上；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建立统一的数据指标口径与月度经营分析机制。</w:t>
      </w:r>
    </w:p>
    <w:p>
      <w:pPr>
        <w:spacing w:after="40"/>
      </w:pPr>
      <w:r>
        <w:rPr>
          <w:i/>
          <w:iCs/>
          <w:color w:val="808080"/>
          <w:sz w:val="18"/>
          <w:szCs w:val="18"/>
        </w:rPr>
        <w:t xml:space="preserve">说明：以上目标为示例设定，用于演示报告结构，不代表任何真实业务承诺。</w:t>
      </w:r>
    </w:p>
    <w:p>
      <w:pPr>
        <w:pStyle w:val="Heading1"/>
      </w:pPr>
      <w:r>
        <w:t xml:space="preserve">二、工作进展</w:t>
      </w:r>
    </w:p>
    <w:p>
      <w:pPr>
        <w:pStyle w:val="Heading2"/>
      </w:pPr>
      <w:r>
        <w:t xml:space="preserve">2.1 总体进度概览</w:t>
      </w:r>
    </w:p>
    <w:p>
      <w:pPr>
        <w:spacing w:after="120" w:line="300"/>
        <w:jc w:val="both"/>
      </w:pPr>
      <w:r>
        <w:t xml:space="preserve">本季度共设置 32 项计划任务，已完成 28 项，进行中 3 项，延期 1 项。各工作线进展如下表所示（数据为示例）：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500"/>
        <w:gridCol w:w="1500"/>
        <w:gridCol w:w="1500"/>
        <w:gridCol w:w="2260"/>
      </w:tblGrid>
      <w:tr>
        <w:trPr>
          <w:tblHeader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工作线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计划任务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已完成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达成率</w:t>
            </w:r>
          </w:p>
        </w:tc>
        <w:tc>
          <w:tcPr>
            <w:tcW w:type="dxa" w:w="22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状态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平台功能建设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12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11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91.7%</w:t>
            </w:r>
          </w:p>
        </w:tc>
        <w:tc>
          <w:tcPr>
            <w:tcW w:type="dxa" w:w="22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</w:rPr>
              <w:t xml:space="preserve">按计划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区域仓网优化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8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87.5%</w:t>
            </w:r>
          </w:p>
        </w:tc>
        <w:tc>
          <w:tcPr>
            <w:tcW w:type="dxa" w:w="22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</w:rPr>
              <w:t xml:space="preserve">按计划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客户履约体验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85.7%</w:t>
            </w:r>
          </w:p>
        </w:tc>
        <w:tc>
          <w:tcPr>
            <w:tcW w:type="dxa" w:w="22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55A11"/>
              </w:rPr>
              <w:t xml:space="preserve">轻微滞后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数据治理与分析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80.0%</w:t>
            </w:r>
          </w:p>
        </w:tc>
        <w:tc>
          <w:tcPr>
            <w:tcW w:type="dxa" w:w="22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55A11"/>
              </w:rPr>
              <w:t xml:space="preserve">轻微滞后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9E2F3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合计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9E2F3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32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9E2F3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28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9E2F3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87.5%</w:t>
            </w:r>
          </w:p>
        </w:tc>
        <w:tc>
          <w:tcPr>
            <w:tcW w:type="dxa" w:w="22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D9E2F3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</w:rPr>
              <w:t xml:space="preserve">总体健康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2.2 重点工作成果</w:t>
      </w:r>
    </w:p>
    <w:p>
      <w:pPr>
        <w:pStyle w:val="Heading3"/>
      </w:pPr>
      <w:r>
        <w:t xml:space="preserve">（1）平台功能建设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平台 2.0 版于 5 月 20 日正式上线，新增智能调拨、可视化经营看板与开放 API 三大能力；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开放 API 已接入 46 家客户的自有系统，接口日均调用量约 12.8 万次；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可视化看板覆盖订单、库存、配送三大主题，管理层日活使用率达 78%。</w:t>
      </w:r>
    </w:p>
    <w:p>
      <w:pPr>
        <w:pStyle w:val="Heading3"/>
      </w:pPr>
      <w:r>
        <w:t xml:space="preserve">（2）区域仓网优化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完成华东、华南 2 个区域共 9 个前置仓的选址与切换，平均配送半径缩短约 22%；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引入基于历史需求的补货模型（示例算法），试点仓库缺货率由 6.4% 降至 3.1%。</w:t>
      </w:r>
    </w:p>
    <w:p>
      <w:pPr>
        <w:pStyle w:val="Heading3"/>
      </w:pPr>
      <w:r>
        <w:t xml:space="preserve">（3）客户履约体验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上线订单全链路追踪与异常主动提醒，客户咨询工单量环比下降 24%；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试运行「超时赔付」服务承诺，季末客户满意度（CSAT）达 91.2 分。</w:t>
      </w:r>
    </w:p>
    <w:p>
      <w:pPr>
        <w:pStyle w:val="Heading1"/>
      </w:pPr>
      <w:r>
        <w:t xml:space="preserve">三、关键数据分析</w:t>
      </w:r>
    </w:p>
    <w:p>
      <w:pPr>
        <w:spacing w:after="120" w:line="300"/>
        <w:jc w:val="both"/>
      </w:pPr>
      <w:r>
        <w:t xml:space="preserve">下表汇总本季度核心经营与运营指标，并与季初基线及季度目标进行对比（所有数值均为示例数据）。</w:t>
      </w:r>
    </w:p>
    <w:p>
      <w:pPr>
        <w:pStyle w:val="Heading2"/>
      </w:pPr>
      <w:r>
        <w:t xml:space="preserve">3.1 核心指标对比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500"/>
        <w:gridCol w:w="1500"/>
        <w:gridCol w:w="1500"/>
        <w:gridCol w:w="1960"/>
      </w:tblGrid>
      <w:tr>
        <w:trPr>
          <w:tblHeader/>
        </w:trP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指标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季初基线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季末实际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季度目标</w:t>
            </w:r>
          </w:p>
        </w:tc>
        <w:tc>
          <w:tcPr>
            <w:tcW w:type="dxa" w:w="19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达成情况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月活跃客户数（家）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1,240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1,690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1,600</w:t>
            </w:r>
          </w:p>
        </w:tc>
        <w:tc>
          <w:tcPr>
            <w:tcW w:type="dxa" w:w="19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</w:rPr>
              <w:t xml:space="preserve">超额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平均履约时长（小时）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48.6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39.2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≤40.0</w:t>
            </w:r>
          </w:p>
        </w:tc>
        <w:tc>
          <w:tcPr>
            <w:tcW w:type="dxa" w:w="19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</w:rPr>
              <w:t xml:space="preserve">达成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订单准时率（%）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82.4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93.7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≥92.0</w:t>
            </w:r>
          </w:p>
        </w:tc>
        <w:tc>
          <w:tcPr>
            <w:tcW w:type="dxa" w:w="19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</w:rPr>
              <w:t xml:space="preserve">达成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仓储周转率（次/月）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6.8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8.1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≥7.8</w:t>
            </w:r>
          </w:p>
        </w:tc>
        <w:tc>
          <w:tcPr>
            <w:tcW w:type="dxa" w:w="19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</w:rPr>
              <w:t xml:space="preserve">达成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客户满意度 CSAT（分）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85.3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91.2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≥90.0</w:t>
            </w:r>
          </w:p>
        </w:tc>
        <w:tc>
          <w:tcPr>
            <w:tcW w:type="dxa" w:w="19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2E7D32"/>
              </w:rPr>
              <w:t xml:space="preserve">达成</w:t>
            </w:r>
          </w:p>
        </w:tc>
      </w:tr>
      <w:tr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系统高峰可用率（%）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99.1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99.3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≥99.9</w:t>
            </w:r>
          </w:p>
        </w:tc>
        <w:tc>
          <w:tcPr>
            <w:tcW w:type="dxa" w:w="19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0000"/>
              </w:rPr>
              <w:t xml:space="preserve">未达标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3.2 月度趋势（月活跃客户数）</w:t>
      </w:r>
    </w:p>
    <w:p>
      <w:pPr>
        <w:spacing w:after="120" w:line="300"/>
        <w:jc w:val="both"/>
      </w:pPr>
      <w:r>
        <w:t xml:space="preserve">季度内月活跃客户数呈稳步上升趋势，下图以文本条形方式示意（示例数据，单位：家）：</w:t>
      </w:r>
    </w:p>
    <w:p>
      <w:pPr>
        <w:tabs>
          <w:tab w:val="left" w:pos="1000"/>
          <w:tab w:val="left" w:pos="2200"/>
        </w:tabs>
        <w:spacing w:after="40"/>
      </w:pPr>
      <w:r>
        <w:rPr>
          <w:b/>
          <w:bCs/>
        </w:rPr>
        <w:t xml:space="preserve">4 月</w:t>
      </w:r>
      <w:r>
        <w:t xml:space="preserve">	 1240	</w:t>
      </w:r>
      <w:r>
        <w:rPr>
          <w:color w:val="2E75B6"/>
        </w:rPr>
        <w:t xml:space="preserve">██████████████████████</w:t>
      </w:r>
    </w:p>
    <w:p>
      <w:pPr>
        <w:tabs>
          <w:tab w:val="left" w:pos="1000"/>
          <w:tab w:val="left" w:pos="2200"/>
        </w:tabs>
        <w:spacing w:after="40"/>
      </w:pPr>
      <w:r>
        <w:rPr>
          <w:b/>
          <w:bCs/>
        </w:rPr>
        <w:t xml:space="preserve">5 月</w:t>
      </w:r>
      <w:r>
        <w:t xml:space="preserve">	 1465	</w:t>
      </w:r>
      <w:r>
        <w:rPr>
          <w:color w:val="2E75B6"/>
        </w:rPr>
        <w:t xml:space="preserve">██████████████████████████</w:t>
      </w:r>
    </w:p>
    <w:p>
      <w:pPr>
        <w:tabs>
          <w:tab w:val="left" w:pos="1000"/>
          <w:tab w:val="left" w:pos="2200"/>
        </w:tabs>
        <w:spacing w:after="40"/>
      </w:pPr>
      <w:r>
        <w:rPr>
          <w:b/>
          <w:bCs/>
        </w:rPr>
        <w:t xml:space="preserve">6 月</w:t>
      </w:r>
      <w:r>
        <w:t xml:space="preserve">	 1690	</w:t>
      </w:r>
      <w:r>
        <w:rPr>
          <w:color w:val="2E75B6"/>
        </w:rPr>
        <w:t xml:space="preserve">██████████████████████████████</w:t>
      </w:r>
    </w:p>
    <w:p>
      <w:pPr>
        <w:spacing w:after="100"/>
      </w:pPr>
      <w:r>
        <w:rPr>
          <w:i/>
          <w:iCs/>
          <w:color w:val="808080"/>
          <w:sz w:val="18"/>
          <w:szCs w:val="18"/>
        </w:rPr>
        <w:t xml:space="preserve">注：条形长度按比例示意，仅用于结构演示。可在 Word 中替换为「插入 → 图表」的原生折线图。</w:t>
      </w:r>
    </w:p>
    <w:p>
      <w:pPr>
        <w:pStyle w:val="Heading2"/>
      </w:pPr>
      <w:r>
        <w:t xml:space="preserve">3.3 分析结论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b/>
          <w:bCs/>
        </w:rPr>
        <w:t xml:space="preserve">增长质量良好：</w:t>
      </w:r>
      <w:r>
        <w:t xml:space="preserve">客户规模与履约效率同步提升，说明运营改善并非以牺牲服务为代价。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b/>
          <w:bCs/>
          <w:color w:val="C00000"/>
        </w:rPr>
        <w:t xml:space="preserve">结构性短板集中在稳定性：</w:t>
      </w:r>
      <w:r>
        <w:t xml:space="preserve">系统高峰可用率是唯一未达标指标，需作为下季度重点。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b/>
          <w:bCs/>
        </w:rPr>
        <w:t xml:space="preserve">改善空间：</w:t>
      </w:r>
      <w:r>
        <w:t xml:space="preserve">跨区域调拨仍以人工为主，自动化率不足 40%，存在进一步提效潜力。</w:t>
      </w:r>
    </w:p>
    <w:p>
      <w:pPr>
        <w:pStyle w:val="Heading1"/>
      </w:pPr>
      <w:r>
        <w:t xml:space="preserve">四、存在问题与风险</w:t>
      </w:r>
    </w:p>
    <w:p>
      <w:pPr>
        <w:spacing w:after="120" w:line="300"/>
        <w:jc w:val="both"/>
      </w:pPr>
      <w:r>
        <w:t xml:space="preserve">结合本季度数据与一线反馈，梳理出以下三类主要问题，并对影响与紧急程度做出评估（评估为示例判断）：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900"/>
        <w:gridCol w:w="3000"/>
        <w:gridCol w:w="1400"/>
        <w:gridCol w:w="1360"/>
      </w:tblGrid>
      <w:tr>
        <w:trPr>
          <w:tblHeader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序号</w:t>
            </w:r>
          </w:p>
        </w:tc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问题描述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影响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紧急度</w:t>
            </w:r>
          </w:p>
        </w:tc>
        <w:tc>
          <w:tcPr>
            <w:tcW w:type="dxa" w:w="1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责任线</w:t>
            </w:r>
          </w:p>
        </w:tc>
      </w:tr>
      <w:t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P1</w:t>
            </w:r>
          </w:p>
        </w:tc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高峰时段系统响应变慢，偶发超时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影响下单成功率与客户体验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00000"/>
              </w:rPr>
              <w:t xml:space="preserve">高</w:t>
            </w:r>
          </w:p>
        </w:tc>
        <w:tc>
          <w:tcPr>
            <w:tcW w:type="dxa" w:w="1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平台建设</w:t>
            </w:r>
          </w:p>
        </w:tc>
      </w:tr>
      <w:t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P2</w:t>
            </w:r>
          </w:p>
        </w:tc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跨区域库存调拨依赖人工判断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易造成局部缺货或积压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55A11"/>
              </w:rPr>
              <w:t xml:space="preserve">中</w:t>
            </w:r>
          </w:p>
        </w:tc>
        <w:tc>
          <w:tcPr>
            <w:tcW w:type="dxa" w:w="1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仓网优化</w:t>
            </w:r>
          </w:p>
        </w:tc>
      </w:tr>
      <w:t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P3</w:t>
            </w:r>
          </w:p>
        </w:tc>
        <w:tc>
          <w:tcPr>
            <w:tcW w:type="dxa" w:w="2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多系统数据口径不一致</w:t>
            </w:r>
          </w:p>
        </w:tc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报表对不齐，决策效率受损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C55A11"/>
              </w:rPr>
              <w:t xml:space="preserve">中</w:t>
            </w:r>
          </w:p>
        </w:tc>
        <w:tc>
          <w:tcPr>
            <w:tcW w:type="dxa" w:w="13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数据治理</w:t>
            </w:r>
          </w:p>
        </w:tc>
      </w:tr>
    </w:tbl>
    <w:p>
      <w:pPr>
        <w:spacing w:after="160"/>
      </w:pPr>
    </w:p>
    <w:p>
      <w:pPr>
        <w:pStyle w:val="Heading3"/>
      </w:pPr>
      <w:r>
        <w:t xml:space="preserve">问题成因简析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P1 主要源于数据库连接池配置与部分接口未做缓存，高峰期资源争用明显；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P2 缺乏统一的调拨决策模型，区域间信息未打通，依赖经验判断；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P3 因历史系统建设阶段不同，指标定义与统计时点存在差异，尚未形成统一口径。</w:t>
      </w:r>
    </w:p>
    <w:p>
      <w:pPr>
        <w:pStyle w:val="Heading1"/>
      </w:pPr>
      <w:r>
        <w:t xml:space="preserve">五、改进建议</w:t>
      </w:r>
    </w:p>
    <w:p>
      <w:pPr>
        <w:spacing w:after="120" w:line="300"/>
        <w:jc w:val="both"/>
      </w:pPr>
      <w:r>
        <w:t xml:space="preserve">针对上述问题，提出以下改进建议，按优先级排序（P0 最高）：</w:t>
      </w:r>
    </w:p>
    <w:p>
      <w:pPr>
        <w:pStyle w:val="Heading3"/>
      </w:pPr>
      <w:r>
        <w:t xml:space="preserve">建议一（P0）：系统稳定性专项治理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对核心下单与查询接口引入多级缓存与读写分离，扩容高峰期计算资源；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建立全链路压测与容量规划机制，设定 99.9% 可用率的服务目标；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上线实时告警与自动扩缩容，缩短故障发现与恢复时间。</w:t>
      </w:r>
    </w:p>
    <w:p>
      <w:pPr>
        <w:pStyle w:val="Heading3"/>
      </w:pPr>
      <w:r>
        <w:t xml:space="preserve">建议二（P1）：智能调拨能力建设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以历史需求与在途库存为基础，构建区域间自动调拨模型，逐步替代人工判断；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设定安全库存与调拨阈值，将自动化调拨占比在三季度提升至 60% 以上。</w:t>
      </w:r>
    </w:p>
    <w:p>
      <w:pPr>
        <w:pStyle w:val="Heading3"/>
      </w:pPr>
      <w:r>
        <w:t xml:space="preserve">建议三（P1）：统一数据口径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成立数据治理小组，形成核心指标字典与统一统计时点；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以数据看板为唯一事实来源，逐步替换各团队自维护的离线报表。</w:t>
      </w:r>
    </w:p>
    <w:p>
      <w:pPr>
        <w:pBdr>
          <w:left w:val="single" w:color="2E7D32" w:sz="18" w:space="8"/>
        </w:pBdr>
        <w:shd w:fill="EAF1FB" w:val="clear"/>
        <w:spacing w:after="160" w:before="80"/>
      </w:pPr>
      <w:r>
        <w:rPr>
          <w:b/>
          <w:bCs/>
          <w:color w:val="2E7D32"/>
        </w:rPr>
        <w:t xml:space="preserve">预期收益（示例测算）：</w:t>
      </w:r>
      <w:r>
        <w:t xml:space="preserve">三项建议落地后，预计高峰可用率可提升至 99.9%，调拨人工工时下降约 50%，月度经营分析出具周期由 5 天缩短至 1 天。</w:t>
      </w:r>
    </w:p>
    <w:p>
      <w:pPr>
        <w:pStyle w:val="Heading1"/>
      </w:pPr>
      <w:r>
        <w:t xml:space="preserve">六、后续计划</w:t>
      </w:r>
    </w:p>
    <w:p>
      <w:pPr>
        <w:pStyle w:val="Heading2"/>
      </w:pPr>
      <w:r>
        <w:t xml:space="preserve">6.1 三季度重点任务与里程碑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1700"/>
        <w:gridCol w:w="1900"/>
        <w:gridCol w:w="1860"/>
      </w:tblGrid>
      <w:tr>
        <w:trPr>
          <w:tblHeader/>
        </w:trP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序号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任务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责任线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计划完成</w:t>
            </w:r>
          </w:p>
        </w:tc>
        <w:tc>
          <w:tcPr>
            <w:tcW w:type="dxa" w:w="18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关键里程碑</w:t>
            </w:r>
          </w:p>
        </w:tc>
      </w:tr>
      <w:t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系统稳定性专项治理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平台建设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2026-08-31</w:t>
            </w:r>
          </w:p>
        </w:tc>
        <w:tc>
          <w:tcPr>
            <w:tcW w:type="dxa" w:w="18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</w:rPr>
              <w:t xml:space="preserve">可用率≥99.9%</w:t>
            </w:r>
          </w:p>
        </w:tc>
      </w:tr>
      <w:t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智能调拨模型上线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仓网优化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2026-09-15</w:t>
            </w:r>
          </w:p>
        </w:tc>
        <w:tc>
          <w:tcPr>
            <w:tcW w:type="dxa" w:w="18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</w:rPr>
              <w:t xml:space="preserve">自动化率≥60%</w:t>
            </w:r>
          </w:p>
        </w:tc>
      </w:tr>
      <w:t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统一数据口径与看板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数据治理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2026-08-20</w:t>
            </w:r>
          </w:p>
        </w:tc>
        <w:tc>
          <w:tcPr>
            <w:tcW w:type="dxa" w:w="18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</w:rPr>
              <w:t xml:space="preserve">指标字典发布</w:t>
            </w:r>
          </w:p>
        </w:tc>
      </w:tr>
      <w:t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华中区域仓网试点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仓网优化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2026-09-30</w:t>
            </w:r>
          </w:p>
        </w:tc>
        <w:tc>
          <w:tcPr>
            <w:tcW w:type="dxa" w:w="18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</w:rPr>
              <w:t xml:space="preserve">开仓 3 个</w:t>
            </w:r>
          </w:p>
        </w:tc>
      </w:tr>
      <w:tr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5</w:t>
            </w:r>
          </w:p>
        </w:tc>
        <w:tc>
          <w:tcPr>
            <w:tcW w:type="dxa" w:w="3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商业化套餐与计费</w:t>
            </w:r>
          </w:p>
        </w:tc>
        <w:tc>
          <w:tcPr>
            <w:tcW w:type="dxa" w:w="1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运营管理</w:t>
            </w:r>
          </w:p>
        </w:tc>
        <w:tc>
          <w:tcPr>
            <w:tcW w:type="dxa" w:w="1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t xml:space="preserve">2026-09-10</w:t>
            </w:r>
          </w:p>
        </w:tc>
        <w:tc>
          <w:tcPr>
            <w:tcW w:type="dxa" w:w="18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4E79"/>
              </w:rPr>
              <w:t xml:space="preserve">3 档套餐上线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6.2 资源与协同需求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申请增加 2 名后端工程师，支撑稳定性治理与调拨模型开发；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请求信息技术部在 7 月内完成生产环境资源扩容审批；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需业务、产品、数据三方每两周召开一次联合评审，确保口径统一。</w:t>
      </w:r>
    </w:p>
    <w:p>
      <w:pPr>
        <w:pStyle w:val="Heading2"/>
      </w:pPr>
      <w:r>
        <w:t xml:space="preserve">6.3 风险预案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b/>
          <w:bCs/>
        </w:rPr>
        <w:t xml:space="preserve">扩容不及时：</w:t>
      </w:r>
      <w:r>
        <w:t xml:space="preserve">预留降级方案，在高峰期对非核心功能限流，保障主链路。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rPr>
          <w:b/>
          <w:bCs/>
        </w:rPr>
        <w:t xml:space="preserve">模型效果不达预期：</w:t>
      </w:r>
      <w:r>
        <w:t xml:space="preserve">保留人工复核开关，采取「模型建议 + 人工确认」的过渡模式。</w:t>
      </w:r>
    </w:p>
    <w:p>
      <w:pPr>
        <w:pStyle w:val="Heading1"/>
      </w:pPr>
      <w:r>
        <w:t xml:space="preserve">结语</w:t>
      </w:r>
    </w:p>
    <w:p>
      <w:pPr>
        <w:spacing w:after="120" w:line="300"/>
        <w:jc w:val="both"/>
      </w:pPr>
      <w:r>
        <w:t xml:space="preserve">本季度项目在客户规模、履约效率与服务体验方面均取得积极进展，整体处于健康推进状态。下一阶段应在保持增长的同时，集中资源攻坚系统稳定性与数据治理两大关键短板，为三季度商业化扩展打下坚实基础。</w:t>
      </w:r>
    </w:p>
    <w:p>
      <w:pPr>
        <w:spacing w:after="120" w:line="300"/>
        <w:jc w:val="left"/>
      </w:pPr>
      <w:r>
        <w:t xml:space="preserve">特此报告，请领导审阅并指示。</w:t>
      </w:r>
    </w:p>
    <w:p>
      <w:pPr>
        <w:spacing w:before="400"/>
        <w:jc w:val="right"/>
      </w:pPr>
      <w:r>
        <w:rPr>
          <w:sz w:val="22"/>
          <w:szCs w:val="22"/>
        </w:rPr>
        <w:t xml:space="preserve">编制：运营管理部（示例）</w:t>
      </w:r>
    </w:p>
    <w:p>
      <w:pPr>
        <w:jc w:val="right"/>
      </w:pPr>
      <w:r>
        <w:rPr>
          <w:sz w:val="22"/>
          <w:szCs w:val="22"/>
        </w:rPr>
        <w:t xml:space="preserve">2026 年 7 月 8 日</w:t>
      </w:r>
    </w:p>
    <w:p>
      <w:r>
        <w:br w:type="page"/>
      </w:r>
    </w:p>
    <w:p>
      <w:pPr>
        <w:pStyle w:val="Heading1"/>
      </w:pPr>
      <w:r>
        <w:t xml:space="preserve">附录 A：指标口径说明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指标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1F4E79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口径说明（示例）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月活跃客户数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当月内产生至少 1 笔有效订单的客户数量。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平均履约时长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订单从确认到签收的平均耗时，剔除客户主动改约部分。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订单准时率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在承诺时效内完成签收的订单数 ÷ 总订单数。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仓储周转率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AF1FB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当月出库次数 ÷ 平均库存量，反映库存流转效率。</w:t>
            </w:r>
          </w:p>
        </w:tc>
      </w:tr>
      <w:t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系统高峰可用率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t xml:space="preserve">业务高峰时段（每日 20:00–22:00）系统可用分钟数占比。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附录 B：使用说明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本文件为「境核AI」生成的可编辑示例，所有单位、姓名、数据均为虚构；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如需实际使用，请替换封面信息、正文数据与附录口径；</w:t>
      </w:r>
    </w:p>
    <w:p>
      <w:pPr>
        <w:pStyle w:val="ListParagraph"/>
        <w:numPr>
          <w:ilvl w:val="0"/>
          <w:numId w:val="3"/>
        </w:numPr>
        <w:spacing w:after="60" w:line="290"/>
      </w:pPr>
      <w:r>
        <w:t xml:space="preserve">目录、页码为自动字段：在 Word 中按 Ctrl+A 后按 F9 可整体刷新。</w:t>
      </w:r>
    </w:p>
    <w:sectPr>
      <w:headerReference w:type="default" r:id="rId7"/>
      <w:footerReference w:type="default" r:id="rId8"/>
      <w:pgSz w:w="12240" w:h="15840" w:orient="portrait"/>
      <w:pgMar w:top="1440" w:right="1440" w:bottom="126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2"/>
      </w:pBdr>
      <w:tabs>
        <w:tab w:val="center" w:pos="4680"/>
        <w:tab w:val="right" w:pos="9360"/>
      </w:tabs>
    </w:pPr>
    <w:r>
      <w:rPr>
        <w:color w:val="808080"/>
        <w:sz w:val="16"/>
        <w:szCs w:val="16"/>
      </w:rPr>
      <w:t xml:space="preserve">运营管理部</w:t>
    </w:r>
    <w:r>
      <w:rPr>
        <w:color w:val="808080"/>
        <w:sz w:val="16"/>
        <w:szCs w:val="16"/>
      </w:rPr>
      <w:t xml:space="preserve">	第 </w:t>
    </w:r>
    <w:r>
      <w:rPr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6"/>
        <w:szCs w:val="16"/>
      </w:rPr>
      <w:t xml:space="preserve"> 页 / 共 </w:t>
    </w:r>
    <w:r>
      <w:rPr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color w:val="808080"/>
        <w:sz w:val="16"/>
        <w:szCs w:val="16"/>
      </w:rPr>
      <w:t xml:space="preserve"> 页</w:t>
    </w:r>
    <w:r>
      <w:rPr>
        <w:color w:val="808080"/>
        <w:sz w:val="16"/>
        <w:szCs w:val="16"/>
      </w:rPr>
      <w:t xml:space="preserve">	2026 Q2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2"/>
      </w:pBdr>
      <w:tabs>
        <w:tab w:val="right" w:pos="9360"/>
      </w:tabs>
    </w:pPr>
    <w:r>
      <w:rPr>
        <w:color w:val="1F4E79"/>
        <w:sz w:val="16"/>
        <w:szCs w:val="16"/>
      </w:rPr>
      <w:t xml:space="preserve">智慧供应链平台项目 · 季度工作报告</w:t>
    </w:r>
    <w:r>
      <w:rPr>
        <w:color w:val="808080"/>
        <w:sz w:val="16"/>
        <w:szCs w:val="16"/>
      </w:rPr>
      <w:t xml:space="preserve">	内部资料（示例）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  <w:rPr>
        <w:color w:val="2E75B6"/>
      </w:rPr>
    </w:lvl>
    <w:lvl w:ilvl="1" w15:tentative="1">
      <w:start w:val="1"/>
      <w:numFmt w:val="bullet"/>
      <w:lvlText w:val="–"/>
      <w:lvlJc w:val="left"/>
      <w:pPr>
        <w:ind w:left="10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E75B6" w:sz="8" w:space="4"/>
      </w:pBdr>
      <w:spacing w:after="160" w:before="300"/>
      <w:outlineLvl w:val="0"/>
    </w:pPr>
    <w:rPr>
      <w:rFonts w:ascii="Microsoft YaHei" w:cs="Microsoft YaHei" w:eastAsia="Microsoft YaHei" w:hAnsi="Microsoft YaHei"/>
      <w:b/>
      <w:bCs/>
      <w:color w:val="1F4E79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20"/>
      <w:outlineLvl w:val="1"/>
    </w:pPr>
    <w:rPr>
      <w:rFonts w:ascii="Microsoft YaHei" w:cs="Microsoft YaHei" w:eastAsia="Microsoft YaHei" w:hAnsi="Microsoft YaHei"/>
      <w:b/>
      <w:bCs/>
      <w:color w:val="2E75B6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Microsoft YaHei" w:cs="Microsoft YaHei" w:eastAsia="Microsoft YaHei" w:hAnsi="Microsoft YaHei"/>
      <w:b/>
      <w:bCs/>
      <w:color w:val="333333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季度工作报告（标准版）</dc:title>
  <dc:creator>境核AI</dc:creator>
  <dc:description>结构完整的 Word 工作报告示例</dc:description>
  <cp:lastModifiedBy>Un-named</cp:lastModifiedBy>
  <cp:revision>1</cp:revision>
  <dcterms:created xsi:type="dcterms:W3CDTF">2026-08-31T10:09:52.199Z</dcterms:created>
  <dcterms:modified xsi:type="dcterms:W3CDTF">2026-08-31T10:09:52.200Z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