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00"/>
        <w:jc w:val="center"/>
      </w:pPr>
      <w:r>
        <w:rPr>
          <w:rFonts w:ascii="Microsoft YaHei" w:cs="Microsoft YaHei" w:eastAsia="Microsoft YaHei" w:hAnsi="Microsoft YaHei"/>
          <w:b/>
          <w:bCs/>
          <w:color w:val="2E75B6"/>
          <w:sz w:val="22"/>
          <w:szCs w:val="22"/>
        </w:rPr>
        <w:t xml:space="preserve">境核AI · 场景体验库</w:t>
      </w:r>
    </w:p>
    <w:p>
      <w:pPr>
        <w:pBdr>
          <w:bottom w:val="single" w:color="2E75B6" w:sz="6" w:space="6"/>
        </w:pBdr>
        <w:spacing w:after="600" w:before="60"/>
        <w:jc w:val="center"/>
      </w:pPr>
    </w:p>
    <w:p>
      <w:pPr>
        <w:spacing w:after="100" w:before="400"/>
        <w:jc w:val="center"/>
      </w:pPr>
      <w:r>
        <w:rPr>
          <w:rFonts w:ascii="Microsoft YaHei" w:cs="Microsoft YaHei" w:eastAsia="Microsoft YaHei" w:hAnsi="Microsoft YaHei"/>
          <w:b/>
          <w:bCs/>
          <w:color w:val="1F3864"/>
          <w:sz w:val="52"/>
          <w:szCs w:val="52"/>
        </w:rPr>
        <w:t xml:space="preserve">大学生毕业论文</w:t>
      </w:r>
    </w:p>
    <w:p>
      <w:pPr>
        <w:spacing w:after="500"/>
        <w:jc w:val="center"/>
      </w:pPr>
      <w:r>
        <w:rPr>
          <w:rFonts w:ascii="Microsoft YaHei" w:cs="Microsoft YaHei" w:eastAsia="Microsoft YaHei" w:hAnsi="Microsoft YaHei"/>
          <w:b/>
          <w:bCs/>
          <w:color w:val="1F3864"/>
          <w:sz w:val="52"/>
          <w:szCs w:val="52"/>
        </w:rPr>
        <w:t xml:space="preserve">与开题报告写作方案</w:t>
      </w:r>
    </w:p>
    <w:p>
      <w:pPr>
        <w:spacing w:after="800"/>
        <w:jc w:val="center"/>
      </w:pPr>
      <w:r>
        <w:rPr>
          <w:rFonts w:ascii="Microsoft YaHei" w:cs="Microsoft YaHei" w:eastAsia="Microsoft YaHei" w:hAnsi="Microsoft YaHei"/>
          <w:color w:val="2E75B6"/>
          <w:sz w:val="24"/>
          <w:szCs w:val="24"/>
        </w:rPr>
        <w:t xml:space="preserve">选题建议 · 论文提纲 · 文献综述框架 · 研究方法</w:t>
      </w:r>
    </w:p>
    <w:tbl>
      <w:tblPr>
        <w:tblW w:type="dxa" w:w="6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0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写作指南与范例（标准版）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适用对象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本科 / 专科毕业生、指导教师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配套文档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精简版：可直接填写的模板与速查清单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v1.0 · 2026-08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数据说明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文中数据均为示例，非真实客户或调研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Microsoft YaHei" w:cs="Microsoft YaHei" w:eastAsia="Microsoft YaHei" w:hAnsi="Microsoft YaHei"/>
          <w:b/>
          <w:bCs/>
          <w:color w:val="1F3864"/>
          <w:sz w:val="30"/>
          <w:szCs w:val="30"/>
        </w:rPr>
        <w:t xml:space="preserve">目 录</w:t>
      </w:r>
    </w:p>
    <w:p>
      <w:pPr>
        <w:pBdr>
          <w:bottom w:val="single" w:color="2E75B6" w:sz="6" w:space="4"/>
        </w:pBdr>
        <w:spacing w:after="200"/>
      </w:pPr>
    </w:p>
    <w:p>
      <w:pPr>
        <w:tabs>
          <w:tab w:val="right" w:pos="9360" w:leader="dot"/>
        </w:tabs>
        <w:spacing w:after="70" w:before="40" w:line="300"/>
      </w:pP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一、使用说明与整体流程</w:t>
      </w: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	3</w:t>
      </w:r>
    </w:p>
    <w:p>
      <w:pPr>
        <w:tabs>
          <w:tab w:val="right" w:pos="9360" w:leader="dot"/>
        </w:tabs>
        <w:spacing w:after="70" w:before="40" w:line="300"/>
      </w:pP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二、选题建议</w:t>
      </w: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	3</w:t>
      </w:r>
    </w:p>
    <w:p>
      <w:pPr>
        <w:tabs>
          <w:tab w:val="right" w:pos="9360" w:leader="dot"/>
        </w:tabs>
        <w:spacing w:after="70" w:before="40" w:line="300"/>
      </w:pP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三、论文提纲</w:t>
      </w: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	4</w:t>
      </w:r>
    </w:p>
    <w:p>
      <w:pPr>
        <w:tabs>
          <w:tab w:val="right" w:pos="9360" w:leader="dot"/>
        </w:tabs>
        <w:spacing w:after="70" w:before="40" w:line="300"/>
      </w:pP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四、文献综述框架</w:t>
      </w: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	6</w:t>
      </w:r>
    </w:p>
    <w:p>
      <w:pPr>
        <w:tabs>
          <w:tab w:val="right" w:pos="9360" w:leader="dot"/>
        </w:tabs>
        <w:spacing w:after="70" w:before="40" w:line="300"/>
      </w:pP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五、研究方法</w:t>
      </w: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	7</w:t>
      </w:r>
    </w:p>
    <w:p>
      <w:pPr>
        <w:tabs>
          <w:tab w:val="right" w:pos="9360" w:leader="dot"/>
        </w:tabs>
        <w:spacing w:after="70" w:before="40" w:line="300"/>
      </w:pP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六、开题报告要点</w:t>
      </w: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	8</w:t>
      </w:r>
    </w:p>
    <w:p>
      <w:pPr>
        <w:tabs>
          <w:tab w:val="right" w:pos="9360" w:leader="dot"/>
        </w:tabs>
        <w:spacing w:after="70" w:before="40" w:line="300"/>
      </w:pP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七、写作与答辩检查清单</w:t>
      </w: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	9</w:t>
      </w:r>
    </w:p>
    <w:p>
      <w:pPr>
        <w:spacing w:before="260"/>
      </w:pPr>
      <w:r>
        <w:rPr>
          <w:rFonts w:ascii="Microsoft YaHei" w:cs="Microsoft YaHei" w:eastAsia="Microsoft YaHei" w:hAnsi="Microsoft YaHei"/>
          <w:i/>
          <w:iCs/>
          <w:color w:val="888888"/>
          <w:sz w:val="18"/>
          <w:szCs w:val="18"/>
        </w:rPr>
        <w:t xml:space="preserve">提示：正文各章标题采用 Word 大纲级别，可在 Word 中通过“引用 → 目录”一键生成可跳转目录。</w:t>
      </w:r>
    </w:p>
    <w:p>
      <w:r>
        <w:br w:type="page"/>
      </w:r>
    </w:p>
    <w:p>
      <w:pPr>
        <w:pStyle w:val="Heading1"/>
      </w:pPr>
      <w:r>
        <w:t xml:space="preserve">一、使用说明与整体流程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本方案面向正在准备毕业论文的大学生，覆盖从选题到开题、再到正文写作的完整链路。全文按“先选题、再搭框架、后填内容”的顺序组织，可按章节顺序推进，也可按需查阅。</w:t>
      </w:r>
    </w:p>
    <w:p>
      <w:pPr>
        <w:pStyle w:val="Heading2"/>
      </w:pPr>
      <w:r>
        <w:t xml:space="preserve">1.1 毕业论文写作的六个阶段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560"/>
        <w:gridCol w:w="1600"/>
        <w:gridCol w:w="2800"/>
      </w:tblGrid>
      <w:tr>
        <w:trPr>
          <w:tblHeader/>
        </w:trP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阶段</w:t>
            </w:r>
          </w:p>
        </w:tc>
        <w:tc>
          <w:tcPr>
            <w:tcW w:type="dxa" w:w="3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核心任务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参考周期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关键产出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① 选题</w:t>
            </w:r>
          </w:p>
        </w:tc>
        <w:tc>
          <w:tcPr>
            <w:tcW w:type="dxa" w:w="3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结合兴趣、专业与可行性确定题目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1–2 周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题目 + 选题理由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② 开题</w:t>
            </w:r>
          </w:p>
        </w:tc>
        <w:tc>
          <w:tcPr>
            <w:tcW w:type="dxa" w:w="3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撰写开题报告并通过答辩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3–4 周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开题报告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③ 文献</w:t>
            </w:r>
          </w:p>
        </w:tc>
        <w:tc>
          <w:tcPr>
            <w:tcW w:type="dxa" w:w="3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系统检索并形成文献综述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4–6 周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文献综述初稿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④ 研究</w:t>
            </w:r>
          </w:p>
        </w:tc>
        <w:tc>
          <w:tcPr>
            <w:tcW w:type="dxa" w:w="3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按研究方法收集与分析资料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6–12 周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数据 / 实验结果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⑤ 写作</w:t>
            </w:r>
          </w:p>
        </w:tc>
        <w:tc>
          <w:tcPr>
            <w:tcW w:type="dxa" w:w="3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按提纲逐章成文并修改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10–16 周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论文全文初稿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⑥ 定稿</w:t>
            </w:r>
          </w:p>
        </w:tc>
        <w:tc>
          <w:tcPr>
            <w:tcW w:type="dxa" w:w="3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查重、润色、格式校对与答辩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16–18 周</w:t>
            </w:r>
          </w:p>
        </w:tc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定稿 + 答辩 PPT</w:t>
            </w:r>
          </w:p>
        </w:tc>
      </w:tr>
    </w:tbl>
    <w:p>
      <w:pPr>
        <w:spacing w:after="120" w:before="100" w:line="300"/>
      </w:pPr>
      <w:r>
        <w:rPr>
          <w:rFonts w:ascii="Microsoft YaHei" w:cs="Microsoft YaHei" w:eastAsia="Microsoft YaHei" w:hAnsi="Microsoft YaHei"/>
          <w:i/>
          <w:iCs/>
          <w:color w:val="666666"/>
          <w:sz w:val="20"/>
          <w:szCs w:val="20"/>
        </w:rPr>
        <w:t xml:space="preserve">说明：以上周期为通用示例，实际以所在院校的教学日历与指导教师要求为准。</w:t>
      </w:r>
    </w:p>
    <w:p>
      <w:pPr>
        <w:pStyle w:val="Heading2"/>
      </w:pPr>
      <w:r>
        <w:t xml:space="preserve">1.2 本文档与配套精简版的分工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标准版（本文）：讲清“每一部分为什么写、写什么、怎么写”，并提供示例选题库、提纲范例、文献综述框架与研究方法详解。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精简版：提供可直接填写的开题报告模板、结构速查表、写作检查清单与时间管理表，适合动笔时对照使用。</w:t>
      </w:r>
    </w:p>
    <w:p>
      <w:pPr>
        <w:pStyle w:val="Heading1"/>
      </w:pPr>
      <w:r>
        <w:t xml:space="preserve">二、选题建议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好的选题是论文成功的一半。选题应满足“有价值、可完成、有兴趣”三个条件，避免题目过大而难以支撑，或过小而缺乏研究空间。</w:t>
      </w:r>
    </w:p>
    <w:p>
      <w:pPr>
        <w:pStyle w:val="Heading2"/>
      </w:pPr>
      <w:r>
        <w:t xml:space="preserve">2.1 选题的四个评估维度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260"/>
        <w:gridCol w:w="3600"/>
      </w:tblGrid>
      <w:tr>
        <w:trPr>
          <w:tblHeader/>
        </w:trP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维度</w:t>
            </w:r>
          </w:p>
        </w:tc>
        <w:tc>
          <w:tcPr>
            <w:tcW w:type="dxa" w:w="42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自问的问题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示例判断标准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价值性</w:t>
            </w:r>
          </w:p>
        </w:tc>
        <w:tc>
          <w:tcPr>
            <w:tcW w:type="dxa" w:w="42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题目是否有理论或现实意义？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能回应某一学科争议或现实痛点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可行性</w:t>
            </w:r>
          </w:p>
        </w:tc>
        <w:tc>
          <w:tcPr>
            <w:tcW w:type="dxa" w:w="42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在时间、数据、能力内能否完成？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数据可获取、方法可掌握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创新性</w:t>
            </w:r>
          </w:p>
        </w:tc>
        <w:tc>
          <w:tcPr>
            <w:tcW w:type="dxa" w:w="42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相比已有研究有何新意？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新视角 / 新对象 / 新方法之一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兴趣度</w:t>
            </w:r>
          </w:p>
        </w:tc>
        <w:tc>
          <w:tcPr>
            <w:tcW w:type="dxa" w:w="42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自己是否愿意投入数月？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与专业方向或职业规划相关</w:t>
            </w:r>
          </w:p>
        </w:tc>
      </w:tr>
    </w:tbl>
    <w:p>
      <w:pPr>
        <w:pStyle w:val="Heading2"/>
      </w:pPr>
      <w:r>
        <w:t xml:space="preserve">2.2 示例选题库（按学科方向）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color w:val="666666"/>
          <w:sz w:val="20"/>
          <w:szCs w:val="20"/>
        </w:rPr>
        <w:t xml:space="preserve">下表为不同学科方向的示例题目，仅用于演示选题的“大小”与表述方式，可据此改写为贴合自身情况的题目。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160"/>
        <w:gridCol w:w="2600"/>
      </w:tblGrid>
      <w:tr>
        <w:trPr>
          <w:tblHeader/>
        </w:trP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学科方向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示例题目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适配研究方法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工商管理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短视频平台促销活动对大学生冲动消费的影响研究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问卷调查 + 回归分析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市场营销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国货美妆品牌社交媒体内容营销策略研究——以示例品牌 A 为例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案例分析 + 内容分析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计算机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基于卷积神经网络的校园垃圾图像分类模型设计与实现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实验法 + 对比实验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汉语言文学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网络流行语在青年群体中的传播特征与语义演变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文本分析 + 语料统计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教育学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游戏化教学对小学生数学学习动机的影响研究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准实验 + 前后测对比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会计学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中小企业应收账款管理问题与对策——基于示例企业 B 的分析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案例分析 + 财务比率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环境科学</w:t>
            </w:r>
          </w:p>
        </w:tc>
        <w:tc>
          <w:tcPr>
            <w:tcW w:type="dxa" w:w="5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城市社区生活垃圾分类参与意愿的影响因素研究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问卷调查 + 结构方程</w:t>
            </w:r>
          </w:p>
        </w:tc>
      </w:tr>
    </w:tbl>
    <w:p>
      <w:pPr>
        <w:pStyle w:val="Heading2"/>
      </w:pPr>
      <w:r>
        <w:t xml:space="preserve">2.3 从大方向收敛到具体题目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推荐用“漏斗式”收敛法，把宽泛的兴趣逐步限定为可研究的题目：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确定领域：如“大学生消费”。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锁定对象与情境：如“短视频平台上的大学生”。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聚焦变量与关系：如“促销活动 → 冲动消费”。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补充边界与方法：如“以某高校为例，用问卷回归”。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b/>
          <w:bCs/>
          <w:color w:val="1F3864"/>
          <w:sz w:val="22"/>
          <w:szCs w:val="22"/>
        </w:rPr>
        <w:t xml:space="preserve">最终题目示例：《短视频平台促销活动对大学生冲动消费的影响研究——以示例高校为例》。</w:t>
      </w:r>
    </w:p>
    <w:p>
      <w:pPr>
        <w:pStyle w:val="Heading2"/>
      </w:pPr>
      <w:r>
        <w:t xml:space="preserve">2.4 选题常见误区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题目过大：如“中国经济发展研究”，无法在毕业论文篇幅内支撑。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有对象无问题：只描述现象，缺少明确的研究问题或假设。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数据不可得：依赖难以获取的内部数据或需长期跟踪的样本。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与专业脱节：题目虽新颖，却不在本专业培养方案的考核范围内。</w:t>
      </w:r>
    </w:p>
    <w:p>
      <w:pPr>
        <w:pStyle w:val="Heading1"/>
      </w:pPr>
      <w:r>
        <w:t xml:space="preserve">三、论文提纲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提纲是论文的骨架。以“社会科学实证类”论文为例，给出一份可套用的通用提纲，并标注各部分的字数占比与写作要点。</w:t>
      </w:r>
    </w:p>
    <w:p>
      <w:pPr>
        <w:pStyle w:val="Heading2"/>
      </w:pPr>
      <w:r>
        <w:t xml:space="preserve">3.1 通用论文结构与字数分配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660"/>
        <w:gridCol w:w="1300"/>
        <w:gridCol w:w="2500"/>
      </w:tblGrid>
      <w:tr>
        <w:trPr>
          <w:tblHeader/>
        </w:trP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章节</w:t>
            </w:r>
          </w:p>
        </w:tc>
        <w:tc>
          <w:tcPr>
            <w:tcW w:type="dxa" w:w="3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内容要点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参考占比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示例字数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摘要 / 关键词</w:t>
            </w:r>
          </w:p>
        </w:tc>
        <w:tc>
          <w:tcPr>
            <w:tcW w:type="dxa" w:w="3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研究目的、方法、结论；3–5 个关键词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3%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300 字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1 章 绪论</w:t>
            </w:r>
          </w:p>
        </w:tc>
        <w:tc>
          <w:tcPr>
            <w:tcW w:type="dxa" w:w="3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研究背景、问题、意义、思路与创新点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15%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1500 字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2 章 文献综述</w:t>
            </w:r>
          </w:p>
        </w:tc>
        <w:tc>
          <w:tcPr>
            <w:tcW w:type="dxa" w:w="3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梳理已有研究、评述并引出研究缺口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20%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2000 字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3 章 研究设计</w:t>
            </w:r>
          </w:p>
        </w:tc>
        <w:tc>
          <w:tcPr>
            <w:tcW w:type="dxa" w:w="3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研究方法、变量、样本与数据来源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15%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1500 字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4 章 分析与结果</w:t>
            </w:r>
          </w:p>
        </w:tc>
        <w:tc>
          <w:tcPr>
            <w:tcW w:type="dxa" w:w="3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数据处理、结果呈现与假设检验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25%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2500 字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5 章 结论与建议</w:t>
            </w:r>
          </w:p>
        </w:tc>
        <w:tc>
          <w:tcPr>
            <w:tcW w:type="dxa" w:w="3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研究结论、对策建议、局限与展望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17%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1700 字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参考文献 / 附录</w:t>
            </w:r>
          </w:p>
        </w:tc>
        <w:tc>
          <w:tcPr>
            <w:tcW w:type="dxa" w:w="36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著录规范文献、问卷或代码等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5%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视情况</w:t>
            </w:r>
          </w:p>
        </w:tc>
      </w:tr>
    </w:tbl>
    <w:p>
      <w:pPr>
        <w:spacing w:after="120" w:before="100" w:line="300"/>
      </w:pPr>
      <w:r>
        <w:rPr>
          <w:rFonts w:ascii="Microsoft YaHei" w:cs="Microsoft YaHei" w:eastAsia="Microsoft YaHei" w:hAnsi="Microsoft YaHei"/>
          <w:i/>
          <w:iCs/>
          <w:color w:val="666666"/>
          <w:sz w:val="20"/>
          <w:szCs w:val="20"/>
        </w:rPr>
        <w:t xml:space="preserve">说明：以上以约 1 万字的本科论文为例，占比与字数仅供参考。</w:t>
      </w:r>
    </w:p>
    <w:p>
      <w:pPr>
        <w:pStyle w:val="Heading2"/>
      </w:pPr>
      <w:r>
        <w:t xml:space="preserve">3.2 详细提纲范例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以《短视频平台促销活动对大学生冲动消费的影响研究》为例：</w:t>
      </w:r>
    </w:p>
    <w:p>
      <w:pPr>
        <w:pStyle w:val="Heading3"/>
      </w:pPr>
      <w:r>
        <w:t xml:space="preserve">第 1 章 绪论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1.1 研究背景与问题提出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1.2 研究目的与意义（理论意义、现实意义）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1.3 研究思路与技术路线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1.4 研究内容与创新点</w:t>
      </w:r>
    </w:p>
    <w:p>
      <w:pPr>
        <w:pStyle w:val="Heading3"/>
      </w:pPr>
      <w:r>
        <w:t xml:space="preserve">第 2 章 文献综述与理论基础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2.1 冲动消费的概念界定与测量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2.2 促销活动与消费行为的相关研究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2.3 短视频情境下的消费研究进展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2.4 文献述评与研究缺口</w:t>
      </w:r>
    </w:p>
    <w:p>
      <w:pPr>
        <w:pStyle w:val="Heading3"/>
      </w:pPr>
      <w:r>
        <w:t xml:space="preserve">第 3 章 研究设计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3.1 研究假设与理论模型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3.2 变量定义与测量量表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3.3 问卷设计与样本选取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3.4 数据收集与分析方法</w:t>
      </w:r>
    </w:p>
    <w:p>
      <w:pPr>
        <w:pStyle w:val="Heading3"/>
      </w:pPr>
      <w:r>
        <w:t xml:space="preserve">第 4 章 实证分析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4.1 样本描述性统计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4.2 信度与效度检验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4.3 相关与回归分析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4.4 假设检验结果讨论</w:t>
      </w:r>
    </w:p>
    <w:p>
      <w:pPr>
        <w:pStyle w:val="Heading3"/>
      </w:pPr>
      <w:r>
        <w:t xml:space="preserve">第 5 章 结论与建议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5.1 主要研究结论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5.2 对平台与消费者的建议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5.3 研究局限与未来展望</w:t>
      </w:r>
    </w:p>
    <w:p>
      <w:pPr>
        <w:pStyle w:val="Heading1"/>
      </w:pPr>
      <w:r>
        <w:t xml:space="preserve">四、文献综述框架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文献综述不是文献罗列，而是对已有研究的“梳理—评述—定位”。目标是说明“别人研究到哪里、还留下什么缺口、我从哪里切入”。</w:t>
      </w:r>
    </w:p>
    <w:p>
      <w:pPr>
        <w:pStyle w:val="Heading2"/>
      </w:pPr>
      <w:r>
        <w:t xml:space="preserve">4.1 文献综述的四步框架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4160"/>
        <w:gridCol w:w="3800"/>
      </w:tblGrid>
      <w:tr>
        <w:trPr>
          <w:tblHeader/>
        </w:trP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步骤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要回答的问题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写作动作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① 界定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核心概念是什么？如何测量？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给出权威定义并比较不同界定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② 梳理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已有研究有哪些主要脉络？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按主题 / 时间 / 方法分类归纳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③ 评述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这些研究有何贡献与不足？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指出共识、分歧与方法局限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④ 定位</w:t>
            </w:r>
          </w:p>
        </w:tc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本研究填补哪一缺口？</w:t>
            </w:r>
          </w:p>
        </w:tc>
        <w:tc>
          <w:tcPr>
            <w:tcW w:type="dxa" w:w="3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由缺口自然引出研究问题与假设</w:t>
            </w:r>
          </w:p>
        </w:tc>
      </w:tr>
    </w:tbl>
    <w:p>
      <w:pPr>
        <w:pStyle w:val="Heading2"/>
      </w:pPr>
      <w:r>
        <w:t xml:space="preserve">4.2 文献检索策略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rPr>
          <w:tblHeader/>
        </w:trP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要素</w:t>
            </w:r>
          </w:p>
        </w:tc>
        <w:tc>
          <w:tcPr>
            <w:tcW w:type="dxa" w:w="7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示例做法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数据库</w:t>
            </w:r>
          </w:p>
        </w:tc>
        <w:tc>
          <w:tcPr>
            <w:tcW w:type="dxa" w:w="7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中文：知网 / 万方 / 维普；外文：Web of Science、Scopus、Google Scholar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关键词</w:t>
            </w:r>
          </w:p>
        </w:tc>
        <w:tc>
          <w:tcPr>
            <w:tcW w:type="dxa" w:w="7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核心词 + 同义词 + 情境词，如“冲动消费 OR 冲动购买 AND 短视频”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筛选标准</w:t>
            </w:r>
          </w:p>
        </w:tc>
        <w:tc>
          <w:tcPr>
            <w:tcW w:type="dxa" w:w="7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近 5–10 年、核心期刊、被引较高、与主题强相关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管理工具</w:t>
            </w:r>
          </w:p>
        </w:tc>
        <w:tc>
          <w:tcPr>
            <w:tcW w:type="dxa" w:w="7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使用 NoteExpress / Zotero / EndNote 建立文献库并统一著录</w:t>
            </w:r>
          </w:p>
        </w:tc>
      </w:tr>
    </w:tbl>
    <w:p>
      <w:pPr>
        <w:pStyle w:val="Heading2"/>
      </w:pPr>
      <w:r>
        <w:t xml:space="preserve">4.3 文献分类与对比表（示例）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color w:val="666666"/>
          <w:sz w:val="20"/>
          <w:szCs w:val="20"/>
        </w:rPr>
        <w:t xml:space="preserve">综述中可用对比表帮助读者快速把握研究脉络：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560"/>
        <w:gridCol w:w="2100"/>
        <w:gridCol w:w="2600"/>
      </w:tblGrid>
      <w:tr>
        <w:trPr>
          <w:tblHeader/>
        </w:trPr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代表性视角</w:t>
            </w:r>
          </w:p>
        </w:tc>
        <w:tc>
          <w:tcPr>
            <w:tcW w:type="dxa" w:w="2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关注重点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常用方法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主要结论（示例）</w:t>
            </w:r>
          </w:p>
        </w:tc>
      </w:tr>
      <w:tr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刺激—反应视角</w:t>
            </w:r>
          </w:p>
        </w:tc>
        <w:tc>
          <w:tcPr>
            <w:tcW w:type="dxa" w:w="2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促销刺激对购买的直接作用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问卷 + 回归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促销强度正向影响冲动购买</w:t>
            </w:r>
          </w:p>
        </w:tc>
      </w:tr>
      <w:tr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情绪中介视角</w:t>
            </w:r>
          </w:p>
        </w:tc>
        <w:tc>
          <w:tcPr>
            <w:tcW w:type="dxa" w:w="2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情绪在刺激与行为间的作用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实验 + 中介检验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愉悦情绪部分中介该影响</w:t>
            </w:r>
          </w:p>
        </w:tc>
      </w:tr>
      <w:tr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个体差异视角</w:t>
            </w:r>
          </w:p>
        </w:tc>
        <w:tc>
          <w:tcPr>
            <w:tcW w:type="dxa" w:w="2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自控力、冲动性等调节作用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调节效应分析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低自控个体更易被促销诱发</w:t>
            </w:r>
          </w:p>
        </w:tc>
      </w:tr>
    </w:tbl>
    <w:p>
      <w:pPr>
        <w:pStyle w:val="Heading2"/>
      </w:pPr>
      <w:r>
        <w:t xml:space="preserve">4.4 综述写作注意事项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述评结合：既呈现别人做了什么，也点评其价值与局限。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避免堆砌：以观点或主题组织段落，而非“张三认为…李四认为…”的流水账。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引用规范：直接引用需标注出处，转述也要注明来源，杜绝抄袭。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导向研究：综述结尾应自然引出研究缺口与本文的切入点。</w:t>
      </w:r>
    </w:p>
    <w:p>
      <w:pPr>
        <w:pStyle w:val="Heading1"/>
      </w:pPr>
      <w:r>
        <w:t xml:space="preserve">五、研究方法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研究方法决定论文的可信度。应根据研究问题选择方法，而非先定方法再找问题。下面梳理常见方法及其适用场景。</w:t>
      </w:r>
    </w:p>
    <w:p>
      <w:pPr>
        <w:pStyle w:val="Heading2"/>
      </w:pPr>
      <w:r>
        <w:t xml:space="preserve">5.1 常见研究方法一览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960"/>
        <w:gridCol w:w="2400"/>
        <w:gridCol w:w="2400"/>
      </w:tblGrid>
      <w:tr>
        <w:trPr>
          <w:tblHeader/>
        </w:trP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方法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适用场景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优点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局限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文献研究法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梳理理论、构建综述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成本低、覆盖广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依赖二手资料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问卷调查法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测量态度、行为、规模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样本大、可量化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自陈偏差、回收率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访谈法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深入理解动机与过程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信息丰富、灵活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样本小、主观性强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实验法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检验因果关系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内部效度高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外部效度受限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案例分析法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剖析典型对象或情境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细节深入、情境完整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结论难以推广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内容分析法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分析文本 / 影像内容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客观、可复现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编码耗时</w:t>
            </w:r>
          </w:p>
        </w:tc>
      </w:tr>
    </w:tbl>
    <w:p>
      <w:pPr>
        <w:pStyle w:val="Heading2"/>
      </w:pPr>
      <w:r>
        <w:t xml:space="preserve">5.2 定量与定性方法的选择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730"/>
        <w:gridCol w:w="3730"/>
      </w:tblGrid>
      <w:tr>
        <w:trPr>
          <w:tblHeader/>
        </w:trP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对比项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定量研究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定性研究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研究目的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验证假设、测量关系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探索机制、理解意义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典型方法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问卷、实验、统计建模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访谈、观察、案例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数据形式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数值、量表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文字、影像、记录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样本要求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样本量较大、讲代表性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样本量小、讲典型性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适用阶段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变量清晰、有成熟量表</w:t>
            </w:r>
          </w:p>
        </w:tc>
        <w:tc>
          <w:tcPr>
            <w:tcW w:type="dxa" w:w="373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概念模糊、需先探索</w:t>
            </w:r>
          </w:p>
        </w:tc>
      </w:tr>
    </w:tbl>
    <w:p>
      <w:pPr>
        <w:pStyle w:val="Heading2"/>
      </w:pPr>
      <w:r>
        <w:t xml:space="preserve">5.3 研究设计示例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延续冲动消费题目，给出一个可操作的研究设计示例：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460"/>
      </w:tblGrid>
      <w:tr>
        <w:trPr>
          <w:tblHeader/>
        </w:trP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设计要素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示例设定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研究方法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以问卷调查为主，辅以少量深度访谈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样本与抽样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示例高校在校本科生，便利抽样，计划有效样本 300 份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测量工具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改编自成熟量表的 5 级李克特问卷，含促销感知、情绪、冲动购买等维度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数据分析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SPSS 描述统计、信效度检验、相关与多元回归、中介效应检验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质量控制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预调研修订题项、设置反向题、剔除规律作答与超短用时问卷</w:t>
            </w:r>
          </w:p>
        </w:tc>
      </w:tr>
    </w:tbl>
    <w:p>
      <w:pPr>
        <w:pStyle w:val="Heading2"/>
      </w:pPr>
      <w:r>
        <w:t xml:space="preserve">5.4 技术路线（文字版）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确定研究问题与假设 → 设计并预测试问卷。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正式发放问卷 → 回收并清洗数据。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信度效度检验 → 描述性统计。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相关与回归分析 → 检验研究假设。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解释结果 → 形成结论与建议。</w:t>
      </w:r>
    </w:p>
    <w:p>
      <w:pPr>
        <w:pStyle w:val="Heading1"/>
      </w:pPr>
      <w:r>
        <w:t xml:space="preserve">六、开题报告要点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开题报告是对研究计划的整体说明，通常在正式写作前提交并答辩。它与论文正文一脉相承，可视为论文的“施工图”。</w:t>
      </w:r>
    </w:p>
    <w:p>
      <w:pPr>
        <w:pStyle w:val="Heading2"/>
      </w:pPr>
      <w:r>
        <w:t xml:space="preserve">6.1 开题报告的标准结构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560"/>
        <w:gridCol w:w="2600"/>
      </w:tblGrid>
      <w:tr>
        <w:trPr>
          <w:tblHeader/>
        </w:trP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组成部分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写作要点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示例篇幅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选题背景与意义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为什么研究这个问题，有何价值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500 字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国内外研究现状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已有研究进展与不足（微型综述）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600 字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研究内容与目标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具体研究什么、要达到什么目标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400 字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研究方法与思路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拟采用的方法与技术路线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400 字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进度安排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分阶段的时间计划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表格形式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预期成果与参考文献</w:t>
            </w:r>
          </w:p>
        </w:tc>
        <w:tc>
          <w:tcPr>
            <w:tcW w:type="dxa" w:w="4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预期结论、创新点与主要文献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约 300 字</w:t>
            </w:r>
          </w:p>
        </w:tc>
      </w:tr>
    </w:tbl>
    <w:p>
      <w:pPr>
        <w:pStyle w:val="Heading2"/>
      </w:pPr>
      <w:r>
        <w:t xml:space="preserve">6.2 进度安排示例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360"/>
        <w:gridCol w:w="3200"/>
        <w:gridCol w:w="2400"/>
      </w:tblGrid>
      <w:tr>
        <w:trPr>
          <w:tblHeader/>
        </w:trP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阶段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起止时间（示例）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主要工作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阶段成果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第一阶段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1–2 周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确定选题、查阅文献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开题报告初稿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第二阶段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3–4 周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开题答辩、完善方案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定稿开题报告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第三阶段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5–8 周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问卷设计与数据收集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有效样本数据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第四阶段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9–12 周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数据分析与撰写正文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论文初稿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第五阶段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13–15 周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修改润色、查重降重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论文送审稿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第六阶段</w:t>
            </w:r>
          </w:p>
        </w:tc>
        <w:tc>
          <w:tcPr>
            <w:tcW w:type="dxa" w:w="2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第 16–18 周</w:t>
            </w:r>
          </w:p>
        </w:tc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格式校对、准备答辩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论文定稿 + PPT</w:t>
            </w:r>
          </w:p>
        </w:tc>
      </w:tr>
    </w:tbl>
    <w:p>
      <w:pPr>
        <w:pStyle w:val="Heading2"/>
      </w:pPr>
      <w:r>
        <w:t xml:space="preserve">6.3 参考文献著录格式（GB/T 7714 示例）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color w:val="666666"/>
          <w:sz w:val="20"/>
          <w:szCs w:val="20"/>
        </w:rPr>
        <w:t xml:space="preserve">以下为常见文献类型的著录示例，实际以院校要求为准：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460"/>
      </w:tblGrid>
      <w:tr>
        <w:trPr>
          <w:tblHeader/>
        </w:trP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著录格式示例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期刊 [J]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作者. 题名[J]. 刊名, 出版年, 卷(期): 起止页码.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专著 [M]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作者. 书名[M]. 版本. 出版地: 出版社, 出版年: 页码.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学位论文 [D]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作者. 题名[D]. 保存地: 保存单位, 年份.</w:t>
            </w:r>
          </w:p>
        </w:tc>
      </w:tr>
      <w:tr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电子文献 [EB/OL]</w:t>
            </w:r>
          </w:p>
        </w:tc>
        <w:tc>
          <w:tcPr>
            <w:tcW w:type="dxa" w:w="74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作者. 题名[EB/OL]. (发布日期)[引用日期]. 网址.</w:t>
            </w:r>
          </w:p>
        </w:tc>
      </w:tr>
    </w:tbl>
    <w:p>
      <w:pPr>
        <w:spacing w:after="120" w:before="60" w:line="300"/>
      </w:pPr>
      <w:r>
        <w:rPr>
          <w:rFonts w:ascii="Microsoft YaHei" w:cs="Microsoft YaHei" w:eastAsia="Microsoft YaHei" w:hAnsi="Microsoft YaHei"/>
          <w:i/>
          <w:iCs/>
          <w:color w:val="444444"/>
          <w:sz w:val="20"/>
          <w:szCs w:val="20"/>
        </w:rPr>
        <w:t xml:space="preserve">示例条目：李某某. 短视频促销与大学生冲动消费的关系研究[J]. 示例学报, 2025, 12(3): 45-52.</w:t>
      </w:r>
    </w:p>
    <w:p>
      <w:pPr>
        <w:pStyle w:val="Heading1"/>
      </w:pPr>
      <w:r>
        <w:t xml:space="preserve">七、写作与答辩检查清单</w:t>
      </w:r>
    </w:p>
    <w:p>
      <w:pPr>
        <w:spacing w:after="120" w:before="0" w:line="3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动笔前后、定稿之前，可对照下表逐项自查，降低返工与格式扣分风险。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860"/>
        <w:gridCol w:w="2000"/>
      </w:tblGrid>
      <w:tr>
        <w:trPr>
          <w:tblHeader/>
        </w:trP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环节</w:t>
            </w:r>
          </w:p>
        </w:tc>
        <w:tc>
          <w:tcPr>
            <w:tcW w:type="dxa" w:w="5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是否完成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选题</w:t>
            </w:r>
          </w:p>
        </w:tc>
        <w:tc>
          <w:tcPr>
            <w:tcW w:type="dxa" w:w="5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题目大小适中、问题明确、数据可得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□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开题</w:t>
            </w:r>
          </w:p>
        </w:tc>
        <w:tc>
          <w:tcPr>
            <w:tcW w:type="dxa" w:w="5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结构完整、进度合理、通过答辩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□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综述</w:t>
            </w:r>
          </w:p>
        </w:tc>
        <w:tc>
          <w:tcPr>
            <w:tcW w:type="dxa" w:w="5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分类清晰、述评结合、引出缺口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□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方法</w:t>
            </w:r>
          </w:p>
        </w:tc>
        <w:tc>
          <w:tcPr>
            <w:tcW w:type="dxa" w:w="5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方法与问题匹配、样本与工具明确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□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正文</w:t>
            </w:r>
          </w:p>
        </w:tc>
        <w:tc>
          <w:tcPr>
            <w:tcW w:type="dxa" w:w="5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逻辑连贯、图表规范、结论有据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□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格式</w:t>
            </w:r>
          </w:p>
        </w:tc>
        <w:tc>
          <w:tcPr>
            <w:tcW w:type="dxa" w:w="5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字体字号、页码页眉、目录自动更新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□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引用</w:t>
            </w:r>
          </w:p>
        </w:tc>
        <w:tc>
          <w:tcPr>
            <w:tcW w:type="dxa" w:w="5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文中引用与参考文献一一对应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□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查重</w:t>
            </w:r>
          </w:p>
        </w:tc>
        <w:tc>
          <w:tcPr>
            <w:tcW w:type="dxa" w:w="5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重复率符合院校要求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3F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□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答辩</w:t>
            </w:r>
          </w:p>
        </w:tc>
        <w:tc>
          <w:tcPr>
            <w:tcW w:type="dxa" w:w="5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PPT 精炼、可回答方法与局限提问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64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□</w:t>
            </w:r>
          </w:p>
        </w:tc>
      </w:tr>
    </w:tbl>
    <w:p>
      <w:pPr>
        <w:spacing w:before="240"/>
      </w:pPr>
    </w:p>
    <w:p>
      <w:pPr>
        <w:pBdr>
          <w:bottom w:val="single" w:color="2E75B6" w:sz="8" w:space="1"/>
        </w:pBdr>
        <w:spacing w:after="160"/>
      </w:pPr>
    </w:p>
    <w:p>
      <w:pPr>
        <w:spacing w:after="120" w:before="0" w:line="300"/>
        <w:jc w:val="center"/>
      </w:pPr>
      <w:r>
        <w:rPr>
          <w:rFonts w:ascii="Microsoft YaHei" w:cs="Microsoft YaHei" w:eastAsia="Microsoft YaHei" w:hAnsi="Microsoft YaHei"/>
          <w:i/>
          <w:iCs/>
          <w:color w:val="666666"/>
          <w:sz w:val="20"/>
          <w:szCs w:val="20"/>
        </w:rPr>
        <w:t xml:space="preserve">本文档由「境核AI」生成，作为学术写作方法示例。文中所有企业、品牌、数据均为演示性示例，不代表任何真实客户或真实调研结果。配合《精简版》模板使用效果更佳。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3"/>
      </w:pBdr>
      <w:tabs>
        <w:tab w:val="center" w:pos="4680"/>
        <w:tab w:val="right" w:pos="9360"/>
      </w:tabs>
    </w:pPr>
    <w:r>
      <w:rPr>
        <w:rFonts w:ascii="Microsoft YaHei" w:cs="Microsoft YaHei" w:eastAsia="Microsoft YaHei" w:hAnsi="Microsoft YaHei"/>
        <w:color w:val="888888"/>
        <w:sz w:val="16"/>
        <w:szCs w:val="16"/>
      </w:rPr>
      <w:t xml:space="preserve">示例文档 · 内容为演示用途</w:t>
    </w:r>
    <w:r>
      <w:rPr>
        <w:rFonts w:ascii="Microsoft YaHei" w:cs="Microsoft YaHei" w:eastAsia="Microsoft YaHei" w:hAnsi="Microsoft YaHei"/>
        <w:color w:val="888888"/>
        <w:sz w:val="16"/>
        <w:szCs w:val="16"/>
      </w:rPr>
      <w:t xml:space="preserve">	第 </w:t>
    </w:r>
    <w:r>
      <w:rPr>
        <w:rFonts w:ascii="Microsoft YaHei" w:cs="Microsoft YaHei" w:eastAsia="Microsoft YaHei" w:hAnsi="Microsoft YaHe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icrosoft YaHei" w:cs="Microsoft YaHei" w:eastAsia="Microsoft YaHei" w:hAnsi="Microsoft YaHei"/>
        <w:color w:val="888888"/>
        <w:sz w:val="16"/>
        <w:szCs w:val="16"/>
      </w:rPr>
      <w:t xml:space="preserve"> 页 / 共 </w:t>
    </w:r>
    <w:r>
      <w:rPr>
        <w:rFonts w:ascii="Microsoft YaHei" w:cs="Microsoft YaHei" w:eastAsia="Microsoft YaHei" w:hAnsi="Microsoft YaHe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icrosoft YaHei" w:cs="Microsoft YaHei" w:eastAsia="Microsoft YaHei" w:hAnsi="Microsoft YaHei"/>
        <w:color w:val="888888"/>
        <w:sz w:val="16"/>
        <w:szCs w:val="16"/>
      </w:rPr>
      <w:t xml:space="preserve"> 页	境核AI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3"/>
      </w:pBdr>
      <w:tabs>
        <w:tab w:val="right" w:pos="9360"/>
      </w:tabs>
    </w:pPr>
    <w:r>
      <w:rPr>
        <w:rFonts w:ascii="Microsoft YaHei" w:cs="Microsoft YaHei" w:eastAsia="Microsoft YaHei" w:hAnsi="Microsoft YaHei"/>
        <w:b/>
        <w:bCs/>
        <w:color w:val="1F3864"/>
        <w:sz w:val="16"/>
        <w:szCs w:val="16"/>
      </w:rPr>
      <w:t xml:space="preserve">大学生毕业论文与开题报告 · 标准版</w:t>
    </w:r>
    <w:r>
      <w:rPr>
        <w:rFonts w:ascii="Microsoft YaHei" w:cs="Microsoft YaHei" w:eastAsia="Microsoft YaHei" w:hAnsi="Microsoft YaHei"/>
        <w:color w:val="888888"/>
        <w:sz w:val="16"/>
        <w:szCs w:val="16"/>
      </w:rPr>
      <w:t xml:space="preserve">	境核AI · 学术写作指南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–"/>
      <w:lvlJc w:val="left"/>
      <w:pPr>
        <w:ind w:left="9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E75B6" w:sz="6" w:space="4"/>
      </w:pBdr>
      <w:spacing w:after="16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20"/>
      <w:outlineLvl w:val="1"/>
    </w:pPr>
    <w:rPr>
      <w:rFonts w:ascii="Microsoft YaHei" w:cs="Microsoft YaHei" w:eastAsia="Microsoft YaHei" w:hAnsi="Microsoft YaHei"/>
      <w:b/>
      <w:bCs/>
      <w:color w:val="2E75B6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Microsoft YaHei" w:cs="Microsoft YaHei" w:eastAsia="Microsoft YaHei" w:hAnsi="Microsoft YaHei"/>
      <w:b/>
      <w:bCs/>
      <w:color w:val="333333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2026-08-31T09:44:04.838Z</dcterms:created>
  <dcterms:modified xsi:type="dcterms:W3CDTF">2026-08-31T09:44:04.838Z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